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5919" w:rsidRDefault="00C35919" w:rsidP="00C35919">
      <w:pPr>
        <w:suppressLineNumbers/>
        <w:rPr>
          <w:rFonts w:hint="cs"/>
          <w:rtl/>
        </w:rPr>
      </w:pPr>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C35919" w:rsidTr="00BB7126">
        <w:trPr>
          <w:jc w:val="center"/>
        </w:trPr>
        <w:tc>
          <w:tcPr>
            <w:tcW w:w="743" w:type="dxa"/>
          </w:tcPr>
          <w:p w:rsidR="00C35919" w:rsidRPr="00DD05A8" w:rsidRDefault="00C35919" w:rsidP="00BB7126">
            <w:pPr>
              <w:suppressLineNumbers/>
              <w:jc w:val="both"/>
              <w:rPr>
                <w:rFonts w:ascii="Arial" w:hAnsi="Arial"/>
                <w:b/>
                <w:bCs/>
                <w:sz w:val="26"/>
                <w:szCs w:val="26"/>
                <w:rtl/>
              </w:rPr>
            </w:pPr>
            <w:r>
              <w:rPr>
                <w:rFonts w:ascii="Arial" w:hAnsi="Arial" w:hint="cs"/>
                <w:b/>
                <w:bCs/>
                <w:sz w:val="26"/>
                <w:szCs w:val="26"/>
                <w:rtl/>
              </w:rPr>
              <w:t>ל</w:t>
            </w:r>
            <w:r w:rsidRPr="00DD05A8">
              <w:rPr>
                <w:rFonts w:ascii="Arial" w:hAnsi="Arial"/>
                <w:b/>
                <w:bCs/>
                <w:sz w:val="26"/>
                <w:szCs w:val="26"/>
                <w:rtl/>
              </w:rPr>
              <w:t xml:space="preserve">פני </w:t>
            </w:r>
          </w:p>
        </w:tc>
        <w:tc>
          <w:tcPr>
            <w:tcW w:w="8077" w:type="dxa"/>
            <w:gridSpan w:val="2"/>
          </w:tcPr>
          <w:p w:rsidR="00C35919" w:rsidRPr="00DD05A8" w:rsidRDefault="00C35919" w:rsidP="00BB7126">
            <w:pPr>
              <w:suppressLineNumbers/>
              <w:rPr>
                <w:rFonts w:ascii="Arial" w:hAnsi="Arial"/>
                <w:b/>
                <w:bCs/>
                <w:sz w:val="26"/>
                <w:szCs w:val="26"/>
                <w:rtl/>
              </w:rPr>
            </w:pPr>
            <w:r w:rsidRPr="00DD05A8">
              <w:rPr>
                <w:rFonts w:ascii="Arial" w:hAnsi="Arial" w:hint="cs"/>
                <w:b/>
                <w:bCs/>
                <w:sz w:val="26"/>
                <w:szCs w:val="26"/>
                <w:rtl/>
              </w:rPr>
              <w:t>כבוד ה</w:t>
            </w:r>
            <w:sdt>
              <w:sdtPr>
                <w:rPr>
                  <w:sz w:val="26"/>
                  <w:szCs w:val="26"/>
                  <w:rtl/>
                </w:rPr>
                <w:alias w:val="1574"/>
                <w:tag w:val="1574"/>
                <w:id w:val="414602899"/>
                <w:text w:multiLine="1"/>
              </w:sdtPr>
              <w:sdtEndPr/>
              <w:sdtContent>
                <w:r>
                  <w:rPr>
                    <w:rFonts w:ascii="Arial" w:hAnsi="Arial"/>
                    <w:b/>
                    <w:bCs/>
                    <w:sz w:val="26"/>
                    <w:szCs w:val="26"/>
                    <w:rtl/>
                  </w:rPr>
                  <w:t>שופטת, סגנית הנשיאה</w:t>
                </w:r>
              </w:sdtContent>
            </w:sdt>
            <w:r w:rsidRPr="00DD05A8">
              <w:rPr>
                <w:rFonts w:ascii="Arial" w:hAnsi="Arial" w:hint="cs"/>
                <w:b/>
                <w:bCs/>
                <w:sz w:val="26"/>
                <w:szCs w:val="26"/>
                <w:rtl/>
              </w:rPr>
              <w:t xml:space="preserve"> </w:t>
            </w:r>
            <w:r>
              <w:rPr>
                <w:rFonts w:ascii="Arial" w:hAnsi="Arial" w:hint="cs"/>
                <w:b/>
                <w:bCs/>
                <w:sz w:val="26"/>
                <w:szCs w:val="26"/>
                <w:rtl/>
              </w:rPr>
              <w:t xml:space="preserve">ו. </w:t>
            </w:r>
            <w:sdt>
              <w:sdtPr>
                <w:rPr>
                  <w:sz w:val="26"/>
                  <w:szCs w:val="26"/>
                  <w:rtl/>
                </w:rPr>
                <w:alias w:val="1573"/>
                <w:tag w:val="1573"/>
                <w:id w:val="-1751030614"/>
                <w:text w:multiLine="1"/>
              </w:sdtPr>
              <w:sdtEndPr/>
              <w:sdtContent>
                <w:r>
                  <w:rPr>
                    <w:rFonts w:ascii="Arial" w:hAnsi="Arial"/>
                    <w:b/>
                    <w:bCs/>
                    <w:sz w:val="26"/>
                    <w:szCs w:val="26"/>
                    <w:rtl/>
                  </w:rPr>
                  <w:t>פלאוט</w:t>
                </w:r>
                <w:r>
                  <w:rPr>
                    <w:rFonts w:ascii="Arial" w:hAnsi="Arial" w:hint="cs"/>
                    <w:b/>
                    <w:bCs/>
                    <w:sz w:val="26"/>
                    <w:szCs w:val="26"/>
                    <w:rtl/>
                  </w:rPr>
                  <w:t>, אב"ד</w:t>
                </w:r>
              </w:sdtContent>
            </w:sdt>
          </w:p>
          <w:p w:rsidR="00C35919" w:rsidRPr="00DD05A8" w:rsidRDefault="00C35919" w:rsidP="00BB7126">
            <w:pPr>
              <w:suppressLineNumbers/>
              <w:rPr>
                <w:rFonts w:ascii="Arial" w:hAnsi="Arial"/>
                <w:b/>
                <w:bCs/>
                <w:sz w:val="26"/>
                <w:szCs w:val="26"/>
                <w:rtl/>
              </w:rPr>
            </w:pPr>
            <w:r w:rsidRPr="00DD05A8">
              <w:rPr>
                <w:rFonts w:ascii="Arial" w:hAnsi="Arial" w:hint="cs"/>
                <w:b/>
                <w:bCs/>
                <w:sz w:val="26"/>
                <w:szCs w:val="26"/>
                <w:rtl/>
              </w:rPr>
              <w:t>כבוד ה</w:t>
            </w:r>
            <w:sdt>
              <w:sdtPr>
                <w:rPr>
                  <w:sz w:val="26"/>
                  <w:szCs w:val="26"/>
                  <w:rtl/>
                </w:rPr>
                <w:alias w:val="1574"/>
                <w:tag w:val="1574"/>
                <w:id w:val="769970818"/>
                <w:text w:multiLine="1"/>
              </w:sdtPr>
              <w:sdtEndPr/>
              <w:sdtContent>
                <w:r>
                  <w:rPr>
                    <w:rFonts w:ascii="Arial" w:hAnsi="Arial"/>
                    <w:b/>
                    <w:bCs/>
                    <w:sz w:val="26"/>
                    <w:szCs w:val="26"/>
                    <w:rtl/>
                  </w:rPr>
                  <w:t>שופט</w:t>
                </w:r>
              </w:sdtContent>
            </w:sdt>
            <w:r w:rsidRPr="00DD05A8">
              <w:rPr>
                <w:rFonts w:ascii="Arial" w:hAnsi="Arial" w:hint="cs"/>
                <w:b/>
                <w:bCs/>
                <w:sz w:val="26"/>
                <w:szCs w:val="26"/>
                <w:rtl/>
              </w:rPr>
              <w:t xml:space="preserve"> </w:t>
            </w:r>
            <w:r>
              <w:rPr>
                <w:rFonts w:ascii="Arial" w:hAnsi="Arial" w:hint="cs"/>
                <w:b/>
                <w:bCs/>
                <w:sz w:val="26"/>
                <w:szCs w:val="26"/>
                <w:rtl/>
              </w:rPr>
              <w:t xml:space="preserve">צ. </w:t>
            </w:r>
            <w:sdt>
              <w:sdtPr>
                <w:rPr>
                  <w:sz w:val="26"/>
                  <w:szCs w:val="26"/>
                  <w:rtl/>
                </w:rPr>
                <w:alias w:val="1573"/>
                <w:tag w:val="1573"/>
                <w:id w:val="961846624"/>
                <w:text w:multiLine="1"/>
              </w:sdtPr>
              <w:sdtEndPr/>
              <w:sdtContent>
                <w:r>
                  <w:rPr>
                    <w:rFonts w:ascii="Arial" w:hAnsi="Arial"/>
                    <w:b/>
                    <w:bCs/>
                    <w:sz w:val="26"/>
                    <w:szCs w:val="26"/>
                    <w:rtl/>
                  </w:rPr>
                  <w:t>ויצמן</w:t>
                </w:r>
              </w:sdtContent>
            </w:sdt>
          </w:p>
          <w:p w:rsidR="00C35919" w:rsidRPr="00DD05A8" w:rsidRDefault="00C35919" w:rsidP="00BB7126">
            <w:pPr>
              <w:suppressLineNumbers/>
              <w:rPr>
                <w:rFonts w:ascii="Arial" w:hAnsi="Arial"/>
                <w:b/>
                <w:bCs/>
                <w:sz w:val="26"/>
                <w:szCs w:val="26"/>
                <w:rtl/>
              </w:rPr>
            </w:pPr>
            <w:r w:rsidRPr="00DD05A8">
              <w:rPr>
                <w:rFonts w:ascii="Arial" w:hAnsi="Arial" w:hint="cs"/>
                <w:b/>
                <w:bCs/>
                <w:sz w:val="26"/>
                <w:szCs w:val="26"/>
                <w:rtl/>
              </w:rPr>
              <w:t>כבוד ה</w:t>
            </w:r>
            <w:sdt>
              <w:sdtPr>
                <w:rPr>
                  <w:sz w:val="26"/>
                  <w:szCs w:val="26"/>
                  <w:rtl/>
                </w:rPr>
                <w:alias w:val="1574"/>
                <w:tag w:val="1574"/>
                <w:id w:val="-674728205"/>
                <w:text w:multiLine="1"/>
              </w:sdtPr>
              <w:sdtEndPr/>
              <w:sdtContent>
                <w:r>
                  <w:rPr>
                    <w:rFonts w:ascii="Arial" w:hAnsi="Arial"/>
                    <w:b/>
                    <w:bCs/>
                    <w:sz w:val="26"/>
                    <w:szCs w:val="26"/>
                    <w:rtl/>
                  </w:rPr>
                  <w:t>שופטת</w:t>
                </w:r>
              </w:sdtContent>
            </w:sdt>
            <w:r w:rsidRPr="00DD05A8">
              <w:rPr>
                <w:rFonts w:ascii="Arial" w:hAnsi="Arial" w:hint="cs"/>
                <w:b/>
                <w:bCs/>
                <w:sz w:val="26"/>
                <w:szCs w:val="26"/>
                <w:rtl/>
              </w:rPr>
              <w:t xml:space="preserve"> </w:t>
            </w:r>
            <w:sdt>
              <w:sdtPr>
                <w:rPr>
                  <w:sz w:val="26"/>
                  <w:szCs w:val="26"/>
                  <w:rtl/>
                </w:rPr>
                <w:alias w:val="1573"/>
                <w:tag w:val="1573"/>
                <w:id w:val="-1367680092"/>
                <w:text w:multiLine="1"/>
              </w:sdtPr>
              <w:sdtEndPr/>
              <w:sdtContent>
                <w:r>
                  <w:rPr>
                    <w:rFonts w:ascii="Arial" w:hAnsi="Arial" w:hint="cs"/>
                    <w:b/>
                    <w:bCs/>
                    <w:sz w:val="26"/>
                    <w:szCs w:val="26"/>
                    <w:rtl/>
                  </w:rPr>
                  <w:t xml:space="preserve">צ. </w:t>
                </w:r>
                <w:r>
                  <w:rPr>
                    <w:rFonts w:ascii="Arial" w:hAnsi="Arial"/>
                    <w:b/>
                    <w:bCs/>
                    <w:sz w:val="26"/>
                    <w:szCs w:val="26"/>
                    <w:rtl/>
                  </w:rPr>
                  <w:t>גרדשטיין פפקין</w:t>
                </w:r>
              </w:sdtContent>
            </w:sdt>
          </w:p>
          <w:p w:rsidR="00C35919" w:rsidRPr="00DD05A8" w:rsidRDefault="00C35919" w:rsidP="00BB7126">
            <w:pPr>
              <w:suppressLineNumbers/>
              <w:rPr>
                <w:rFonts w:ascii="Arial" w:hAnsi="Arial" w:cs="FrankRuehl"/>
                <w:sz w:val="26"/>
                <w:szCs w:val="26"/>
                <w:highlight w:val="yellow"/>
              </w:rPr>
            </w:pPr>
          </w:p>
        </w:tc>
      </w:tr>
      <w:tr w:rsidR="00C35919" w:rsidTr="00BB7126">
        <w:trPr>
          <w:jc w:val="center"/>
        </w:trPr>
        <w:tc>
          <w:tcPr>
            <w:tcW w:w="3249" w:type="dxa"/>
            <w:gridSpan w:val="2"/>
          </w:tcPr>
          <w:p w:rsidR="00C35919" w:rsidRPr="00960F74" w:rsidRDefault="00C35919" w:rsidP="00BB7126">
            <w:pPr>
              <w:suppressLineNumbers/>
              <w:rPr>
                <w:rFonts w:ascii="Narkisim" w:hAnsi="Narkisim" w:cs="Narkisim"/>
                <w:noProof w:val="0"/>
                <w:sz w:val="28"/>
                <w:szCs w:val="28"/>
              </w:rPr>
            </w:pPr>
          </w:p>
          <w:sdt>
            <w:sdtPr>
              <w:rPr>
                <w:rFonts w:ascii="Narkisim" w:hAnsi="Narkisim" w:cs="Narkisim"/>
                <w:sz w:val="28"/>
                <w:szCs w:val="28"/>
                <w:rtl/>
              </w:rPr>
              <w:alias w:val="1180"/>
              <w:tag w:val="1180"/>
              <w:id w:val="637458750"/>
              <w:text w:multiLine="1"/>
            </w:sdtPr>
            <w:sdtEndPr/>
            <w:sdtContent>
              <w:p w:rsidR="00C35919" w:rsidRPr="00960F74" w:rsidRDefault="00C35919" w:rsidP="00BB7126">
                <w:pPr>
                  <w:suppressLineNumbers/>
                  <w:rPr>
                    <w:rFonts w:ascii="Narkisim" w:hAnsi="Narkisim" w:cs="Narkisim"/>
                    <w:noProof w:val="0"/>
                    <w:sz w:val="28"/>
                    <w:szCs w:val="28"/>
                    <w:rtl/>
                  </w:rPr>
                </w:pPr>
                <w:r w:rsidRPr="00960F74">
                  <w:rPr>
                    <w:rFonts w:ascii="Narkisim" w:hAnsi="Narkisim" w:cs="Narkisim"/>
                    <w:noProof w:val="0"/>
                    <w:sz w:val="28"/>
                    <w:szCs w:val="28"/>
                    <w:rtl/>
                  </w:rPr>
                  <w:t>מערער</w:t>
                </w:r>
              </w:p>
            </w:sdtContent>
          </w:sdt>
        </w:tc>
        <w:tc>
          <w:tcPr>
            <w:tcW w:w="5571" w:type="dxa"/>
          </w:tcPr>
          <w:p w:rsidR="00C35919" w:rsidRPr="00960F74" w:rsidRDefault="00C35919" w:rsidP="00BB7126">
            <w:pPr>
              <w:suppressLineNumbers/>
              <w:rPr>
                <w:rFonts w:ascii="Narkisim" w:hAnsi="Narkisim" w:cs="Narkisim"/>
                <w:noProof w:val="0"/>
                <w:sz w:val="28"/>
                <w:szCs w:val="28"/>
                <w:rtl/>
              </w:rPr>
            </w:pPr>
          </w:p>
          <w:p w:rsidR="00C35919" w:rsidRPr="00960F74" w:rsidRDefault="00C35919" w:rsidP="00BB7126">
            <w:pPr>
              <w:pStyle w:val="a4"/>
              <w:numPr>
                <w:ilvl w:val="0"/>
                <w:numId w:val="4"/>
              </w:numPr>
              <w:suppressLineNumbers/>
              <w:rPr>
                <w:rFonts w:ascii="Narkisim" w:hAnsi="Narkisim" w:cs="Narkisim"/>
                <w:sz w:val="28"/>
                <w:szCs w:val="28"/>
              </w:rPr>
            </w:pPr>
            <w:r w:rsidRPr="00960F74">
              <w:rPr>
                <w:rFonts w:ascii="Narkisim" w:hAnsi="Narkisim" w:cs="Narkisim"/>
                <w:sz w:val="28"/>
                <w:szCs w:val="28"/>
                <w:rtl/>
              </w:rPr>
              <w:t xml:space="preserve">ח. </w:t>
            </w:r>
          </w:p>
          <w:p w:rsidR="00C35919" w:rsidRPr="00960F74" w:rsidRDefault="00C35919" w:rsidP="00BB7126">
            <w:pPr>
              <w:suppressLineNumbers/>
              <w:ind w:left="60"/>
              <w:rPr>
                <w:rFonts w:ascii="Narkisim" w:hAnsi="Narkisim" w:cs="Narkisim"/>
                <w:sz w:val="28"/>
                <w:szCs w:val="28"/>
              </w:rPr>
            </w:pPr>
            <w:r w:rsidRPr="00960F74">
              <w:rPr>
                <w:rFonts w:ascii="Narkisim" w:hAnsi="Narkisim" w:cs="Narkisim"/>
                <w:sz w:val="28"/>
                <w:szCs w:val="28"/>
                <w:rtl/>
              </w:rPr>
              <w:t xml:space="preserve"> ע"י ב"כ עוה"ד ד. ביטון </w:t>
            </w:r>
          </w:p>
        </w:tc>
      </w:tr>
      <w:tr w:rsidR="00C35919" w:rsidTr="00BB7126">
        <w:trPr>
          <w:jc w:val="center"/>
        </w:trPr>
        <w:tc>
          <w:tcPr>
            <w:tcW w:w="8820" w:type="dxa"/>
            <w:gridSpan w:val="3"/>
          </w:tcPr>
          <w:p w:rsidR="00C35919" w:rsidRPr="00960F74" w:rsidRDefault="00C35919" w:rsidP="00BB7126">
            <w:pPr>
              <w:suppressLineNumbers/>
              <w:rPr>
                <w:rFonts w:ascii="Narkisim" w:hAnsi="Narkisim" w:cs="Narkisim"/>
                <w:noProof w:val="0"/>
                <w:sz w:val="28"/>
                <w:szCs w:val="28"/>
                <w:rtl/>
              </w:rPr>
            </w:pPr>
          </w:p>
          <w:p w:rsidR="00C35919" w:rsidRPr="00960F74" w:rsidRDefault="00C35919" w:rsidP="00BB7126">
            <w:pPr>
              <w:suppressLineNumbers/>
              <w:jc w:val="center"/>
              <w:rPr>
                <w:rFonts w:ascii="Narkisim" w:hAnsi="Narkisim" w:cs="Narkisim"/>
                <w:noProof w:val="0"/>
                <w:sz w:val="28"/>
                <w:szCs w:val="28"/>
                <w:rtl/>
              </w:rPr>
            </w:pPr>
            <w:r w:rsidRPr="00960F74">
              <w:rPr>
                <w:rFonts w:ascii="Narkisim" w:hAnsi="Narkisim" w:cs="Narkisim"/>
                <w:noProof w:val="0"/>
                <w:sz w:val="28"/>
                <w:szCs w:val="28"/>
                <w:rtl/>
              </w:rPr>
              <w:t>נגד</w:t>
            </w:r>
          </w:p>
          <w:p w:rsidR="00C35919" w:rsidRPr="00960F74" w:rsidRDefault="00C35919" w:rsidP="00BB7126">
            <w:pPr>
              <w:suppressLineNumbers/>
              <w:rPr>
                <w:rFonts w:ascii="Narkisim" w:hAnsi="Narkisim" w:cs="Narkisim"/>
                <w:noProof w:val="0"/>
                <w:sz w:val="28"/>
                <w:szCs w:val="28"/>
              </w:rPr>
            </w:pPr>
          </w:p>
        </w:tc>
      </w:tr>
      <w:tr w:rsidR="00C35919" w:rsidTr="00BB7126">
        <w:trPr>
          <w:jc w:val="center"/>
        </w:trPr>
        <w:tc>
          <w:tcPr>
            <w:tcW w:w="3249" w:type="dxa"/>
            <w:gridSpan w:val="2"/>
          </w:tcPr>
          <w:p w:rsidR="00C35919" w:rsidRPr="00960F74" w:rsidRDefault="00E20AB3" w:rsidP="00BB7126">
            <w:pPr>
              <w:suppressLineNumbers/>
              <w:rPr>
                <w:rFonts w:ascii="Narkisim" w:hAnsi="Narkisim" w:cs="Narkisim"/>
                <w:noProof w:val="0"/>
                <w:sz w:val="28"/>
                <w:szCs w:val="28"/>
              </w:rPr>
            </w:pPr>
            <w:sdt>
              <w:sdtPr>
                <w:rPr>
                  <w:rFonts w:ascii="Narkisim" w:hAnsi="Narkisim" w:cs="Narkisim"/>
                  <w:sz w:val="28"/>
                  <w:szCs w:val="28"/>
                  <w:rtl/>
                </w:rPr>
                <w:alias w:val="1184"/>
                <w:tag w:val="1184"/>
                <w:id w:val="-340621022"/>
                <w:text w:multiLine="1"/>
              </w:sdtPr>
              <w:sdtEndPr/>
              <w:sdtContent>
                <w:r w:rsidR="00C35919" w:rsidRPr="00960F74">
                  <w:rPr>
                    <w:rFonts w:ascii="Narkisim" w:hAnsi="Narkisim" w:cs="Narkisim"/>
                    <w:noProof w:val="0"/>
                    <w:sz w:val="28"/>
                    <w:szCs w:val="28"/>
                    <w:rtl/>
                  </w:rPr>
                  <w:t>משיבים</w:t>
                </w:r>
              </w:sdtContent>
            </w:sdt>
          </w:p>
        </w:tc>
        <w:tc>
          <w:tcPr>
            <w:tcW w:w="5571" w:type="dxa"/>
          </w:tcPr>
          <w:p w:rsidR="00C35919" w:rsidRPr="00960F74" w:rsidRDefault="00C35919" w:rsidP="00BB7126">
            <w:pPr>
              <w:suppressLineNumbers/>
              <w:rPr>
                <w:rFonts w:ascii="Narkisim" w:hAnsi="Narkisim" w:cs="Narkisim"/>
                <w:sz w:val="28"/>
                <w:szCs w:val="28"/>
                <w:rtl/>
              </w:rPr>
            </w:pPr>
            <w:r w:rsidRPr="00960F74">
              <w:rPr>
                <w:rFonts w:ascii="Narkisim" w:hAnsi="Narkisim" w:cs="Narkisim"/>
                <w:noProof w:val="0"/>
                <w:sz w:val="28"/>
                <w:szCs w:val="28"/>
                <w:rtl/>
              </w:rPr>
              <w:t xml:space="preserve"> </w:t>
            </w:r>
            <w:sdt>
              <w:sdtPr>
                <w:rPr>
                  <w:rFonts w:ascii="Narkisim" w:hAnsi="Narkisim" w:cs="Narkisim"/>
                  <w:noProof w:val="0"/>
                  <w:sz w:val="28"/>
                  <w:szCs w:val="28"/>
                  <w:rtl/>
                </w:rPr>
                <w:alias w:val="3152"/>
                <w:tag w:val="3152"/>
                <w:id w:val="1920052440"/>
                <w:placeholder>
                  <w:docPart w:val="C40C597EA9DA44C5940A32F6E19222DA"/>
                </w:placeholder>
                <w:text w:multiLine="1"/>
              </w:sdtPr>
              <w:sdtEndPr/>
              <w:sdtContent>
                <w:r w:rsidRPr="00960F74">
                  <w:rPr>
                    <w:rFonts w:ascii="Narkisim" w:hAnsi="Narkisim" w:cs="Narkisim"/>
                    <w:noProof w:val="0"/>
                    <w:sz w:val="28"/>
                    <w:szCs w:val="28"/>
                    <w:rtl/>
                  </w:rPr>
                  <w:t xml:space="preserve">ל. ח. </w:t>
                </w:r>
                <w:r w:rsidRPr="00960F74">
                  <w:rPr>
                    <w:rFonts w:ascii="Narkisim" w:hAnsi="Narkisim" w:cs="Narkisim"/>
                    <w:noProof w:val="0"/>
                    <w:sz w:val="28"/>
                    <w:szCs w:val="28"/>
                    <w:rtl/>
                  </w:rPr>
                  <w:br/>
                </w:r>
              </w:sdtContent>
            </w:sdt>
            <w:r w:rsidRPr="00960F74">
              <w:rPr>
                <w:rFonts w:ascii="Narkisim" w:hAnsi="Narkisim" w:cs="Narkisim"/>
                <w:sz w:val="28"/>
                <w:szCs w:val="28"/>
                <w:rtl/>
              </w:rPr>
              <w:t xml:space="preserve"> </w:t>
            </w:r>
            <w:r w:rsidRPr="00960F74">
              <w:rPr>
                <w:rFonts w:ascii="Narkisim" w:hAnsi="Narkisim" w:cs="Narkisim"/>
                <w:noProof w:val="0"/>
                <w:sz w:val="28"/>
                <w:szCs w:val="28"/>
                <w:rtl/>
              </w:rPr>
              <w:t>ע"י ב"כ עוה"ד</w:t>
            </w:r>
            <w:r w:rsidRPr="00960F74">
              <w:rPr>
                <w:rFonts w:ascii="Narkisim" w:hAnsi="Narkisim" w:cs="Narkisim"/>
                <w:sz w:val="28"/>
                <w:szCs w:val="28"/>
                <w:rtl/>
              </w:rPr>
              <w:t xml:space="preserve"> דיינה הר אבן </w:t>
            </w:r>
          </w:p>
        </w:tc>
      </w:tr>
    </w:tbl>
    <w:p w:rsidR="00C35919" w:rsidRDefault="00C35919" w:rsidP="00C35919">
      <w:pPr>
        <w:suppressLineNumbers/>
        <w:rPr>
          <w:rtl/>
        </w:rPr>
      </w:pPr>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C35919" w:rsidRPr="00DE1E7D" w:rsidTr="00BB7126">
        <w:trPr>
          <w:jc w:val="center"/>
        </w:trPr>
        <w:tc>
          <w:tcPr>
            <w:tcW w:w="8820" w:type="dxa"/>
          </w:tcPr>
          <w:p w:rsidR="00C35919" w:rsidRPr="00D22618" w:rsidRDefault="00C35919" w:rsidP="00BB7126">
            <w:pPr>
              <w:bidi w:val="0"/>
              <w:jc w:val="center"/>
              <w:rPr>
                <w:rFonts w:ascii="Arial" w:hAnsi="Arial"/>
                <w:b/>
                <w:bCs/>
                <w:noProof w:val="0"/>
                <w:sz w:val="32"/>
                <w:szCs w:val="32"/>
                <w:u w:val="single"/>
                <w:rtl/>
              </w:rPr>
            </w:pPr>
            <w:r w:rsidRPr="00D22618">
              <w:rPr>
                <w:rFonts w:ascii="Arial" w:hAnsi="Arial" w:hint="cs"/>
                <w:b/>
                <w:bCs/>
                <w:noProof w:val="0"/>
                <w:sz w:val="32"/>
                <w:szCs w:val="32"/>
                <w:u w:val="single"/>
                <w:rtl/>
              </w:rPr>
              <w:t>פסק דין</w:t>
            </w:r>
          </w:p>
          <w:p w:rsidR="00C35919" w:rsidRPr="00D44968" w:rsidRDefault="00C35919" w:rsidP="00BB7126">
            <w:pPr>
              <w:bidi w:val="0"/>
              <w:jc w:val="center"/>
              <w:rPr>
                <w:rFonts w:ascii="Arial" w:hAnsi="Arial"/>
                <w:b/>
                <w:bCs/>
                <w:noProof w:val="0"/>
                <w:sz w:val="28"/>
                <w:szCs w:val="28"/>
                <w:u w:val="single"/>
              </w:rPr>
            </w:pPr>
          </w:p>
        </w:tc>
      </w:tr>
    </w:tbl>
    <w:p w:rsidR="00C35919" w:rsidRDefault="00C35919" w:rsidP="00C35919">
      <w:pPr>
        <w:spacing w:line="360" w:lineRule="auto"/>
        <w:jc w:val="both"/>
        <w:rPr>
          <w:rFonts w:ascii="Narkisim" w:hAnsi="Narkisim" w:cs="Narkisim"/>
          <w:noProof w:val="0"/>
          <w:sz w:val="28"/>
          <w:szCs w:val="28"/>
          <w:rtl/>
        </w:rPr>
      </w:pPr>
      <w:bookmarkStart w:id="0" w:name="NGCSBookmark"/>
      <w:bookmarkEnd w:id="0"/>
      <w:r>
        <w:rPr>
          <w:rFonts w:ascii="Narkisim" w:hAnsi="Narkisim" w:cs="Narkisim"/>
          <w:sz w:val="28"/>
          <w:szCs w:val="28"/>
          <w:rtl/>
        </w:rPr>
        <w:t xml:space="preserve">ערעור על פסק דינו של בית המשפט לענייני משפחה בראשון לציון (כב' הש' </w:t>
      </w:r>
      <w:r>
        <w:rPr>
          <w:rFonts w:ascii="Miriam" w:hAnsi="Miriam" w:cs="Miriam"/>
          <w:rtl/>
        </w:rPr>
        <w:t>מ.  סער</w:t>
      </w:r>
      <w:r>
        <w:rPr>
          <w:rFonts w:ascii="Narkisim" w:hAnsi="Narkisim" w:cs="Narkisim"/>
          <w:sz w:val="28"/>
          <w:szCs w:val="28"/>
          <w:rtl/>
        </w:rPr>
        <w:t>)  מיום 10.7.23 במסגרתו הורה בית המשפט, בין השאר, כי במסגרת איזון המשאבים ביניהם יחלקו הצדדים אף בדירת המגורים בה התגוררו, על אף שזו הייתה רשומה תחילה על שם אמו של המערער, והזכויות בה הועברו לידיו אחר פטירתה מכוח צוואתה, וכן יאוזן סך של 250,000 ₪   שהמערער טען כי הועברו אליו מתוך עזבונה של אמו המנוחה.</w:t>
      </w:r>
    </w:p>
    <w:p w:rsidR="00C35919" w:rsidRDefault="00C35919" w:rsidP="00C35919">
      <w:pPr>
        <w:spacing w:line="360" w:lineRule="auto"/>
        <w:jc w:val="both"/>
        <w:rPr>
          <w:rFonts w:ascii="Narkisim" w:hAnsi="Narkisim" w:cs="Narkisim"/>
          <w:noProof w:val="0"/>
          <w:sz w:val="28"/>
          <w:szCs w:val="28"/>
        </w:rPr>
      </w:pPr>
    </w:p>
    <w:p w:rsidR="00C35919" w:rsidRDefault="00C35919" w:rsidP="00C35919">
      <w:pPr>
        <w:spacing w:line="360" w:lineRule="auto"/>
        <w:jc w:val="both"/>
        <w:rPr>
          <w:rFonts w:ascii="Miriam" w:hAnsi="Miriam" w:cs="Miriam"/>
          <w:rtl/>
        </w:rPr>
      </w:pPr>
      <w:r>
        <w:rPr>
          <w:rFonts w:ascii="Miriam" w:hAnsi="Miriam" w:cs="Miriam"/>
          <w:rtl/>
        </w:rPr>
        <w:t xml:space="preserve">הנדרש לנדון </w:t>
      </w:r>
    </w:p>
    <w:p w:rsidR="00C35919" w:rsidRDefault="00C35919" w:rsidP="00C35919">
      <w:pPr>
        <w:spacing w:line="360" w:lineRule="auto"/>
        <w:jc w:val="both"/>
        <w:rPr>
          <w:rFonts w:ascii="Miriam" w:hAnsi="Miriam" w:cs="Miriam"/>
          <w:rtl/>
        </w:rPr>
      </w:pPr>
    </w:p>
    <w:p w:rsidR="00C35919" w:rsidRDefault="00C35919" w:rsidP="00C35919">
      <w:pPr>
        <w:pStyle w:val="a4"/>
        <w:numPr>
          <w:ilvl w:val="0"/>
          <w:numId w:val="2"/>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הצדדים נישאו בשנת </w:t>
      </w:r>
      <w:r>
        <w:rPr>
          <w:rFonts w:ascii="Narkisim" w:hAnsi="Narkisim" w:cs="Narkisim"/>
          <w:sz w:val="28"/>
          <w:szCs w:val="28"/>
          <w:highlight w:val="lightGray"/>
          <w:rtl/>
        </w:rPr>
        <w:t>1987</w:t>
      </w:r>
      <w:r>
        <w:rPr>
          <w:rFonts w:ascii="Narkisim" w:hAnsi="Narkisim" w:cs="Narkisim"/>
          <w:sz w:val="28"/>
          <w:szCs w:val="28"/>
          <w:rtl/>
        </w:rPr>
        <w:t xml:space="preserve"> באוזבקיסטן, ולהם 4 ילדים משותפים.  בשנת </w:t>
      </w:r>
      <w:r>
        <w:rPr>
          <w:rFonts w:ascii="Narkisim" w:hAnsi="Narkisim" w:cs="Narkisim"/>
          <w:sz w:val="28"/>
          <w:szCs w:val="28"/>
          <w:highlight w:val="lightGray"/>
          <w:rtl/>
        </w:rPr>
        <w:t>1991</w:t>
      </w:r>
      <w:r>
        <w:rPr>
          <w:rFonts w:ascii="Narkisim" w:hAnsi="Narkisim" w:cs="Narkisim"/>
          <w:sz w:val="28"/>
          <w:szCs w:val="28"/>
          <w:rtl/>
        </w:rPr>
        <w:t xml:space="preserve"> עלו הצדדים ארצה. המשיבה החלה לעבוד כאחות ואילו המערער החל ללמוד משפטים,  בין לבין סיים המערער את חוק לימודיו והפך לעו"ד פעיל.  </w:t>
      </w:r>
    </w:p>
    <w:p w:rsidR="00C35919" w:rsidRDefault="00C35919" w:rsidP="00C35919">
      <w:pPr>
        <w:pStyle w:val="a4"/>
        <w:spacing w:line="360" w:lineRule="auto"/>
        <w:ind w:left="0"/>
        <w:jc w:val="both"/>
        <w:rPr>
          <w:rFonts w:ascii="Narkisim" w:hAnsi="Narkisim" w:cs="Narkisim"/>
          <w:sz w:val="28"/>
          <w:szCs w:val="28"/>
        </w:rPr>
      </w:pPr>
    </w:p>
    <w:p w:rsidR="00C35919" w:rsidRDefault="00C35919" w:rsidP="00C35919">
      <w:pPr>
        <w:pStyle w:val="a4"/>
        <w:numPr>
          <w:ilvl w:val="0"/>
          <w:numId w:val="2"/>
        </w:numPr>
        <w:spacing w:line="360" w:lineRule="auto"/>
        <w:ind w:left="0" w:firstLine="0"/>
        <w:jc w:val="both"/>
        <w:rPr>
          <w:rFonts w:ascii="Narkisim" w:hAnsi="Narkisim" w:cs="Narkisim"/>
          <w:sz w:val="28"/>
          <w:szCs w:val="28"/>
        </w:rPr>
      </w:pPr>
      <w:r>
        <w:rPr>
          <w:rFonts w:ascii="Narkisim" w:hAnsi="Narkisim" w:cs="Narkisim"/>
          <w:sz w:val="28"/>
          <w:szCs w:val="28"/>
          <w:rtl/>
        </w:rPr>
        <w:t xml:space="preserve">בשנת </w:t>
      </w:r>
      <w:r>
        <w:rPr>
          <w:rFonts w:ascii="Narkisim" w:hAnsi="Narkisim" w:cs="Narkisim"/>
          <w:sz w:val="28"/>
          <w:szCs w:val="28"/>
          <w:highlight w:val="lightGray"/>
          <w:rtl/>
        </w:rPr>
        <w:t>1994</w:t>
      </w:r>
      <w:r>
        <w:rPr>
          <w:rFonts w:ascii="Narkisim" w:hAnsi="Narkisim" w:cs="Narkisim"/>
          <w:sz w:val="28"/>
          <w:szCs w:val="28"/>
          <w:rtl/>
        </w:rPr>
        <w:t xml:space="preserve"> רכשו הצדדים דירה בהרצליה והזכויות בדירה זו נרשמו על שמם בחלקים שווים. הצדדים התגוררו בדירה זו ממועד רכישתה. המערער, אשר כאמור סיים את חוק לימודיו החל לעבוד כעו"ד בעיר רמלה.  </w:t>
      </w:r>
    </w:p>
    <w:p w:rsidR="00C35919" w:rsidRPr="002D55BF" w:rsidRDefault="00C35919" w:rsidP="00C35919">
      <w:pPr>
        <w:pStyle w:val="a4"/>
        <w:rPr>
          <w:rFonts w:ascii="Narkisim" w:hAnsi="Narkisim" w:cs="Narkisim"/>
          <w:sz w:val="28"/>
          <w:szCs w:val="28"/>
          <w:rtl/>
        </w:rPr>
      </w:pPr>
    </w:p>
    <w:p w:rsidR="00C35919" w:rsidRDefault="00C35919" w:rsidP="00C35919">
      <w:pPr>
        <w:pStyle w:val="a4"/>
        <w:spacing w:line="360" w:lineRule="auto"/>
        <w:ind w:left="0"/>
        <w:jc w:val="both"/>
        <w:rPr>
          <w:rFonts w:ascii="Narkisim" w:hAnsi="Narkisim" w:cs="Narkisim"/>
          <w:sz w:val="28"/>
          <w:szCs w:val="28"/>
        </w:rPr>
      </w:pPr>
      <w:r>
        <w:rPr>
          <w:rFonts w:ascii="Narkisim" w:hAnsi="Narkisim" w:cs="Narkisim"/>
          <w:sz w:val="28"/>
          <w:szCs w:val="28"/>
          <w:rtl/>
        </w:rPr>
        <w:t xml:space="preserve">בשנת </w:t>
      </w:r>
      <w:r>
        <w:rPr>
          <w:rFonts w:ascii="Narkisim" w:hAnsi="Narkisim" w:cs="Narkisim"/>
          <w:sz w:val="28"/>
          <w:szCs w:val="28"/>
          <w:highlight w:val="lightGray"/>
          <w:rtl/>
        </w:rPr>
        <w:t>2000</w:t>
      </w:r>
      <w:r>
        <w:rPr>
          <w:rFonts w:ascii="Narkisim" w:hAnsi="Narkisim" w:cs="Narkisim"/>
          <w:sz w:val="28"/>
          <w:szCs w:val="28"/>
          <w:rtl/>
        </w:rPr>
        <w:t xml:space="preserve"> עברו הצדדים להתגורר בשכירות בעיר רמלה ובמקביל השכירו את דירתם בהרצליה. </w:t>
      </w:r>
    </w:p>
    <w:p w:rsidR="00C35919" w:rsidRDefault="00C35919" w:rsidP="00C35919">
      <w:pPr>
        <w:pStyle w:val="a4"/>
        <w:numPr>
          <w:ilvl w:val="0"/>
          <w:numId w:val="2"/>
        </w:numPr>
        <w:spacing w:line="360" w:lineRule="auto"/>
        <w:ind w:left="0" w:firstLine="0"/>
        <w:jc w:val="both"/>
        <w:rPr>
          <w:rFonts w:ascii="Narkisim" w:hAnsi="Narkisim" w:cs="Narkisim"/>
          <w:sz w:val="28"/>
          <w:szCs w:val="28"/>
        </w:rPr>
      </w:pPr>
      <w:r>
        <w:rPr>
          <w:rFonts w:ascii="Narkisim" w:hAnsi="Narkisim" w:cs="Narkisim"/>
          <w:sz w:val="28"/>
          <w:szCs w:val="28"/>
          <w:rtl/>
        </w:rPr>
        <w:lastRenderedPageBreak/>
        <w:t xml:space="preserve">בשנת </w:t>
      </w:r>
      <w:r>
        <w:rPr>
          <w:rFonts w:ascii="Narkisim" w:hAnsi="Narkisim" w:cs="Narkisim"/>
          <w:sz w:val="28"/>
          <w:szCs w:val="28"/>
          <w:highlight w:val="lightGray"/>
          <w:rtl/>
        </w:rPr>
        <w:t>2005</w:t>
      </w:r>
      <w:r>
        <w:rPr>
          <w:rFonts w:ascii="Narkisim" w:hAnsi="Narkisim" w:cs="Narkisim"/>
          <w:sz w:val="28"/>
          <w:szCs w:val="28"/>
          <w:rtl/>
        </w:rPr>
        <w:t xml:space="preserve"> רכשה אמו של המערער (להלן – </w:t>
      </w:r>
      <w:r>
        <w:rPr>
          <w:rFonts w:ascii="Miriam" w:hAnsi="Miriam" w:cs="Miriam"/>
          <w:sz w:val="24"/>
          <w:szCs w:val="24"/>
          <w:rtl/>
        </w:rPr>
        <w:t>המנוחה</w:t>
      </w:r>
      <w:r>
        <w:rPr>
          <w:rFonts w:ascii="Narkisim" w:hAnsi="Narkisim" w:cs="Narkisim"/>
          <w:sz w:val="28"/>
          <w:szCs w:val="28"/>
          <w:rtl/>
        </w:rPr>
        <w:t xml:space="preserve"> או </w:t>
      </w:r>
      <w:r>
        <w:rPr>
          <w:rFonts w:ascii="Miriam" w:hAnsi="Miriam" w:cs="Miriam"/>
          <w:sz w:val="24"/>
          <w:szCs w:val="24"/>
          <w:rtl/>
        </w:rPr>
        <w:t>האם המנוחה</w:t>
      </w:r>
      <w:r>
        <w:rPr>
          <w:rFonts w:ascii="Narkisim" w:hAnsi="Narkisim" w:cs="Narkisim"/>
          <w:sz w:val="28"/>
          <w:szCs w:val="28"/>
          <w:rtl/>
        </w:rPr>
        <w:t xml:space="preserve">) דירה בעיר רמלה והזכויות בה נרשמו על שמה בלבד (להלן – </w:t>
      </w:r>
      <w:r>
        <w:rPr>
          <w:rFonts w:ascii="Miriam" w:hAnsi="Miriam" w:cs="Miriam"/>
          <w:sz w:val="24"/>
          <w:szCs w:val="24"/>
          <w:rtl/>
        </w:rPr>
        <w:t>הבית</w:t>
      </w:r>
      <w:r>
        <w:rPr>
          <w:rFonts w:ascii="Narkisim" w:hAnsi="Narkisim" w:cs="Narkisim"/>
          <w:sz w:val="28"/>
          <w:szCs w:val="28"/>
          <w:rtl/>
        </w:rPr>
        <w:t xml:space="preserve"> או </w:t>
      </w:r>
      <w:r>
        <w:rPr>
          <w:rFonts w:ascii="Miriam" w:hAnsi="Miriam" w:cs="Miriam"/>
          <w:sz w:val="24"/>
          <w:szCs w:val="24"/>
          <w:rtl/>
        </w:rPr>
        <w:t>בית המגורים</w:t>
      </w:r>
      <w:r>
        <w:rPr>
          <w:rFonts w:ascii="Narkisim" w:hAnsi="Narkisim" w:cs="Narkisim"/>
          <w:sz w:val="28"/>
          <w:szCs w:val="28"/>
          <w:rtl/>
        </w:rPr>
        <w:t xml:space="preserve">). בהליך הרכישה ייצג המערער את אמו המנוחה כעורך דין ואף ערך את הסכם המכירה עליו חתמה. ואולם על אף שכך, בפועל, דווקא הצדדים הם אלו שנכנסו להתגורר בבית לאחר שזה שופץ. שיפוץ נוסף נערך בבית בשנת </w:t>
      </w:r>
      <w:r>
        <w:rPr>
          <w:rFonts w:ascii="Narkisim" w:hAnsi="Narkisim" w:cs="Narkisim"/>
          <w:sz w:val="28"/>
          <w:szCs w:val="28"/>
          <w:highlight w:val="lightGray"/>
          <w:rtl/>
        </w:rPr>
        <w:t>2011.</w:t>
      </w:r>
      <w:r>
        <w:rPr>
          <w:rFonts w:ascii="Narkisim" w:hAnsi="Narkisim" w:cs="Narkisim"/>
          <w:sz w:val="28"/>
          <w:szCs w:val="28"/>
          <w:rtl/>
        </w:rPr>
        <w:t xml:space="preserve"> האם המנוחה עצמה התגוררה בדירה אחרת, גם</w:t>
      </w:r>
      <w:r>
        <w:rPr>
          <w:rFonts w:ascii="Narkisim" w:hAnsi="Narkisim" w:cs="Narkisim" w:hint="cs"/>
          <w:sz w:val="28"/>
          <w:szCs w:val="28"/>
          <w:rtl/>
        </w:rPr>
        <w:t xml:space="preserve"> היא</w:t>
      </w:r>
      <w:r>
        <w:rPr>
          <w:rFonts w:ascii="Narkisim" w:hAnsi="Narkisim" w:cs="Narkisim"/>
          <w:sz w:val="28"/>
          <w:szCs w:val="28"/>
          <w:rtl/>
        </w:rPr>
        <w:t xml:space="preserve"> בעיר רמלה, אותה רכשה קודם לכן יחד עם אחִיו של המערער ורעייתו, באמצעות הלוואת משכנתא שנלקחה על ידי האח, אשתו והאם המנוחה.    </w:t>
      </w:r>
    </w:p>
    <w:p w:rsidR="00C35919" w:rsidRDefault="00C35919" w:rsidP="00C35919">
      <w:pPr>
        <w:pStyle w:val="a4"/>
        <w:spacing w:line="360" w:lineRule="auto"/>
        <w:ind w:left="0"/>
        <w:jc w:val="both"/>
        <w:rPr>
          <w:rFonts w:ascii="Narkisim" w:hAnsi="Narkisim" w:cs="Narkisim"/>
          <w:sz w:val="28"/>
          <w:szCs w:val="28"/>
        </w:rPr>
      </w:pPr>
    </w:p>
    <w:p w:rsidR="00C35919" w:rsidRDefault="00C35919" w:rsidP="00C35919">
      <w:pPr>
        <w:pStyle w:val="a4"/>
        <w:numPr>
          <w:ilvl w:val="0"/>
          <w:numId w:val="2"/>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בשנת </w:t>
      </w:r>
      <w:r>
        <w:rPr>
          <w:rFonts w:ascii="Narkisim" w:hAnsi="Narkisim" w:cs="Narkisim"/>
          <w:sz w:val="28"/>
          <w:szCs w:val="28"/>
          <w:highlight w:val="lightGray"/>
          <w:rtl/>
        </w:rPr>
        <w:t>2007</w:t>
      </w:r>
      <w:r>
        <w:rPr>
          <w:rFonts w:ascii="Narkisim" w:hAnsi="Narkisim" w:cs="Narkisim"/>
          <w:sz w:val="28"/>
          <w:szCs w:val="28"/>
          <w:rtl/>
        </w:rPr>
        <w:t xml:space="preserve"> מכרו הצדדים את דירתם המשותפת בהרצליה ורכשו נכס מקרקעין ברמלה, המשמש כמשרדו של המערער. הזכויות במשרד נרשמו על שם שני הצדדים בחלקים שווים.</w:t>
      </w:r>
    </w:p>
    <w:p w:rsidR="00C35919" w:rsidRDefault="00C35919" w:rsidP="00C35919">
      <w:pPr>
        <w:pStyle w:val="a4"/>
        <w:spacing w:line="360" w:lineRule="auto"/>
        <w:ind w:left="0"/>
        <w:jc w:val="both"/>
        <w:rPr>
          <w:rFonts w:ascii="Narkisim" w:hAnsi="Narkisim" w:cs="Narkisim"/>
          <w:sz w:val="28"/>
          <w:szCs w:val="28"/>
        </w:rPr>
      </w:pPr>
    </w:p>
    <w:p w:rsidR="00C35919" w:rsidRDefault="00C35919" w:rsidP="00C35919">
      <w:pPr>
        <w:pStyle w:val="a4"/>
        <w:numPr>
          <w:ilvl w:val="0"/>
          <w:numId w:val="2"/>
        </w:numPr>
        <w:spacing w:line="360" w:lineRule="auto"/>
        <w:ind w:left="0" w:firstLine="0"/>
        <w:jc w:val="both"/>
        <w:rPr>
          <w:rFonts w:ascii="Narkisim" w:hAnsi="Narkisim" w:cs="Narkisim"/>
          <w:sz w:val="28"/>
          <w:szCs w:val="28"/>
        </w:rPr>
      </w:pPr>
      <w:r>
        <w:rPr>
          <w:rFonts w:ascii="Narkisim" w:hAnsi="Narkisim" w:cs="Narkisim"/>
          <w:sz w:val="28"/>
          <w:szCs w:val="28"/>
          <w:rtl/>
        </w:rPr>
        <w:t xml:space="preserve">בשנת </w:t>
      </w:r>
      <w:r>
        <w:rPr>
          <w:rFonts w:ascii="Narkisim" w:hAnsi="Narkisim" w:cs="Narkisim"/>
          <w:sz w:val="28"/>
          <w:szCs w:val="28"/>
          <w:highlight w:val="lightGray"/>
          <w:rtl/>
        </w:rPr>
        <w:t>2012</w:t>
      </w:r>
      <w:r>
        <w:rPr>
          <w:rFonts w:ascii="Narkisim" w:hAnsi="Narkisim" w:cs="Narkisim"/>
          <w:sz w:val="28"/>
          <w:szCs w:val="28"/>
          <w:rtl/>
        </w:rPr>
        <w:t xml:space="preserve"> לערך נרכש נכס מקרקעין נוסף בעיר רמלה, והזכויות בו נרשמו במלואן על שם בנם הבכור של הצדדים (להלן: </w:t>
      </w:r>
      <w:r>
        <w:rPr>
          <w:rFonts w:ascii="Miriam" w:hAnsi="Miriam" w:cs="Miriam"/>
          <w:sz w:val="24"/>
          <w:szCs w:val="24"/>
          <w:rtl/>
        </w:rPr>
        <w:t>דירת הבכור</w:t>
      </w:r>
      <w:r>
        <w:rPr>
          <w:rFonts w:ascii="Narkisim" w:hAnsi="Narkisim" w:cs="Narkisim"/>
          <w:sz w:val="28"/>
          <w:szCs w:val="28"/>
          <w:rtl/>
        </w:rPr>
        <w:t xml:space="preserve">). </w:t>
      </w:r>
    </w:p>
    <w:p w:rsidR="00C35919" w:rsidRDefault="00C35919" w:rsidP="00C35919">
      <w:pPr>
        <w:pStyle w:val="a4"/>
        <w:spacing w:line="360" w:lineRule="auto"/>
        <w:ind w:left="0"/>
        <w:jc w:val="both"/>
        <w:rPr>
          <w:rFonts w:ascii="Narkisim" w:hAnsi="Narkisim" w:cs="Narkisim"/>
          <w:sz w:val="28"/>
          <w:szCs w:val="28"/>
          <w:rtl/>
        </w:rPr>
      </w:pPr>
    </w:p>
    <w:p w:rsidR="00C35919" w:rsidRDefault="00C35919" w:rsidP="00C35919">
      <w:pPr>
        <w:pStyle w:val="a4"/>
        <w:numPr>
          <w:ilvl w:val="0"/>
          <w:numId w:val="2"/>
        </w:numPr>
        <w:spacing w:line="360" w:lineRule="auto"/>
        <w:ind w:left="0" w:firstLine="0"/>
        <w:jc w:val="both"/>
        <w:rPr>
          <w:rFonts w:ascii="Narkisim" w:hAnsi="Narkisim" w:cs="Narkisim"/>
          <w:sz w:val="28"/>
          <w:szCs w:val="28"/>
        </w:rPr>
      </w:pPr>
      <w:r>
        <w:rPr>
          <w:rFonts w:ascii="Narkisim" w:hAnsi="Narkisim" w:cs="Narkisim"/>
          <w:sz w:val="28"/>
          <w:szCs w:val="28"/>
          <w:highlight w:val="lightGray"/>
          <w:rtl/>
        </w:rPr>
        <w:t>בשנת 2014</w:t>
      </w:r>
      <w:r>
        <w:rPr>
          <w:rFonts w:ascii="Narkisim" w:hAnsi="Narkisim" w:cs="Narkisim"/>
          <w:sz w:val="28"/>
          <w:szCs w:val="28"/>
          <w:rtl/>
        </w:rPr>
        <w:t xml:space="preserve"> נפטרה האם המנוחה, והותירה אחריה צוואה. במסגרת צוואתה הורישה את הזכויות בבית המגורים במלואן למערער. </w:t>
      </w:r>
      <w:r>
        <w:rPr>
          <w:rFonts w:ascii="Narkisim" w:hAnsi="Narkisim" w:cs="Narkisim"/>
          <w:sz w:val="28"/>
          <w:szCs w:val="28"/>
          <w:highlight w:val="lightGray"/>
          <w:rtl/>
        </w:rPr>
        <w:t>בשנת 2017</w:t>
      </w:r>
      <w:r>
        <w:rPr>
          <w:rFonts w:ascii="Narkisim" w:hAnsi="Narkisim" w:cs="Narkisim"/>
          <w:sz w:val="28"/>
          <w:szCs w:val="28"/>
          <w:rtl/>
        </w:rPr>
        <w:t xml:space="preserve"> נרשמו הזכויות בבית על שם המערער בהתאם לצו קיום הצוואה שניתן ביום </w:t>
      </w:r>
      <w:r>
        <w:rPr>
          <w:rFonts w:ascii="Narkisim" w:hAnsi="Narkisim" w:cs="Narkisim"/>
          <w:sz w:val="28"/>
          <w:szCs w:val="28"/>
          <w:highlight w:val="lightGray"/>
          <w:rtl/>
        </w:rPr>
        <w:t>15.10.15</w:t>
      </w:r>
      <w:r>
        <w:rPr>
          <w:rFonts w:ascii="Narkisim" w:hAnsi="Narkisim" w:cs="Narkisim"/>
          <w:sz w:val="28"/>
          <w:szCs w:val="28"/>
          <w:rtl/>
        </w:rPr>
        <w:t xml:space="preserve">. </w:t>
      </w:r>
    </w:p>
    <w:p w:rsidR="00C35919" w:rsidRDefault="00C35919" w:rsidP="00C35919">
      <w:pPr>
        <w:pStyle w:val="a4"/>
        <w:spacing w:line="360" w:lineRule="auto"/>
        <w:ind w:left="0"/>
        <w:jc w:val="both"/>
        <w:rPr>
          <w:rFonts w:ascii="Narkisim" w:hAnsi="Narkisim" w:cs="Narkisim"/>
          <w:sz w:val="28"/>
          <w:szCs w:val="28"/>
        </w:rPr>
      </w:pPr>
    </w:p>
    <w:p w:rsidR="00C35919" w:rsidRDefault="00C35919" w:rsidP="00C35919">
      <w:pPr>
        <w:pStyle w:val="a4"/>
        <w:numPr>
          <w:ilvl w:val="0"/>
          <w:numId w:val="2"/>
        </w:numPr>
        <w:spacing w:line="360" w:lineRule="auto"/>
        <w:ind w:left="0" w:firstLine="0"/>
        <w:jc w:val="both"/>
        <w:rPr>
          <w:rFonts w:ascii="Narkisim" w:hAnsi="Narkisim" w:cs="Narkisim"/>
          <w:sz w:val="28"/>
          <w:szCs w:val="28"/>
        </w:rPr>
      </w:pPr>
      <w:r>
        <w:rPr>
          <w:rFonts w:ascii="Narkisim" w:hAnsi="Narkisim" w:cs="Narkisim"/>
          <w:sz w:val="28"/>
          <w:szCs w:val="28"/>
          <w:rtl/>
        </w:rPr>
        <w:t xml:space="preserve">המשיבה הגישה ביום </w:t>
      </w:r>
      <w:r>
        <w:rPr>
          <w:rFonts w:ascii="Narkisim" w:hAnsi="Narkisim" w:cs="Narkisim"/>
          <w:sz w:val="28"/>
          <w:szCs w:val="28"/>
          <w:highlight w:val="lightGray"/>
          <w:rtl/>
        </w:rPr>
        <w:t>22.10.20</w:t>
      </w:r>
      <w:r>
        <w:rPr>
          <w:rFonts w:ascii="Narkisim" w:hAnsi="Narkisim" w:cs="Narkisim"/>
          <w:sz w:val="28"/>
          <w:szCs w:val="28"/>
          <w:rtl/>
        </w:rPr>
        <w:t xml:space="preserve"> תביעה רכושית בה עתרה לאיזון המשאבים ולפירוק השיתוף בין הצדדים. הוסכם על הצדדים כי מועד הקרע הוא ביום </w:t>
      </w:r>
      <w:r>
        <w:rPr>
          <w:rFonts w:ascii="Narkisim" w:hAnsi="Narkisim" w:cs="Narkisim"/>
          <w:sz w:val="28"/>
          <w:szCs w:val="28"/>
          <w:highlight w:val="lightGray"/>
          <w:rtl/>
        </w:rPr>
        <w:t>30.8.20</w:t>
      </w:r>
      <w:r>
        <w:rPr>
          <w:rFonts w:ascii="Narkisim" w:hAnsi="Narkisim" w:cs="Narkisim"/>
          <w:sz w:val="28"/>
          <w:szCs w:val="28"/>
          <w:rtl/>
        </w:rPr>
        <w:t>, כאשר עיקר המחלוקת בין הצדדים הייתה ביחס לזכויות בנכסים הבאים:</w:t>
      </w:r>
    </w:p>
    <w:p w:rsidR="00C35919" w:rsidRDefault="00C35919" w:rsidP="00C35919">
      <w:pPr>
        <w:pStyle w:val="a4"/>
        <w:rPr>
          <w:rFonts w:ascii="Narkisim" w:hAnsi="Narkisim" w:cs="Narkisim"/>
          <w:sz w:val="28"/>
          <w:szCs w:val="28"/>
        </w:rPr>
      </w:pPr>
    </w:p>
    <w:p w:rsidR="00C35919" w:rsidRDefault="00C35919" w:rsidP="00C35919">
      <w:pPr>
        <w:pStyle w:val="a4"/>
        <w:numPr>
          <w:ilvl w:val="0"/>
          <w:numId w:val="3"/>
        </w:numPr>
        <w:spacing w:line="360" w:lineRule="auto"/>
        <w:ind w:left="794" w:firstLine="0"/>
        <w:jc w:val="both"/>
        <w:rPr>
          <w:rFonts w:ascii="Narkisim" w:hAnsi="Narkisim" w:cs="Narkisim"/>
          <w:sz w:val="28"/>
          <w:szCs w:val="28"/>
          <w:rtl/>
        </w:rPr>
      </w:pPr>
      <w:r>
        <w:rPr>
          <w:rFonts w:ascii="Miriam" w:hAnsi="Miriam" w:cs="Miriam"/>
          <w:sz w:val="24"/>
          <w:szCs w:val="24"/>
          <w:rtl/>
        </w:rPr>
        <w:t>הבית</w:t>
      </w:r>
      <w:r>
        <w:rPr>
          <w:rFonts w:ascii="Narkisim" w:hAnsi="Narkisim" w:cs="Narkisim"/>
          <w:sz w:val="28"/>
          <w:szCs w:val="28"/>
          <w:rtl/>
        </w:rPr>
        <w:t xml:space="preserve">, לגביו טענה המשיבה כי הוא נרשם על שם האם המנוחה באופן פיקטיבי ומטעמי מיסוי ולמעשה שייך לצדדים ונרכש על ידי המערער במהלך חיי הנישואין. מכל מקום, המערער אשר ניהל את כל ענייני הרכוש של הצדדים, הבטיח והבהיר לה, כי הבית שייך לבני הזוג, שהתגוררו בו במהלך חיי נישואיהם מאז רכישתו, וכי האם המנוחה תערוך צוואה המעבירה את הבית על שמו, כך שזכויות המשיבה בו לא תפגענה. הצדדים אף שיפצו את הבית מספר פעמים דבר המלמד על השיתופיות בו.  </w:t>
      </w:r>
    </w:p>
    <w:p w:rsidR="00C35919" w:rsidRDefault="00C35919" w:rsidP="00C35919">
      <w:pPr>
        <w:pStyle w:val="a4"/>
        <w:spacing w:line="360" w:lineRule="auto"/>
        <w:ind w:left="900"/>
        <w:jc w:val="both"/>
        <w:rPr>
          <w:rFonts w:ascii="Narkisim" w:hAnsi="Narkisim" w:cs="Narkisim"/>
          <w:sz w:val="28"/>
          <w:szCs w:val="28"/>
          <w:rtl/>
        </w:rPr>
      </w:pPr>
    </w:p>
    <w:p w:rsidR="00C35919" w:rsidRDefault="00C35919" w:rsidP="00C35919">
      <w:pPr>
        <w:pStyle w:val="a4"/>
        <w:spacing w:line="360" w:lineRule="auto"/>
        <w:ind w:left="794" w:firstLine="720"/>
        <w:jc w:val="both"/>
        <w:rPr>
          <w:rFonts w:ascii="Narkisim" w:hAnsi="Narkisim" w:cs="Narkisim"/>
          <w:sz w:val="28"/>
          <w:szCs w:val="28"/>
          <w:rtl/>
        </w:rPr>
      </w:pPr>
      <w:r>
        <w:rPr>
          <w:rFonts w:ascii="Narkisim" w:hAnsi="Narkisim" w:cs="Narkisim"/>
          <w:sz w:val="28"/>
          <w:szCs w:val="28"/>
          <w:rtl/>
        </w:rPr>
        <w:t xml:space="preserve">טענות אלו הוכחשו על ידי המערער, אשר טען כי לצדדים עצמם לא היה כסף לרכישת הבית שכן אותה עת טרם מכרו את דירתם בהרצליה, וכי הבית נרכש על ידי אמו. על כן, מדובר בנכס שניתן לו בירושה ואין למשיבה חלק בו, כמו כן השיפוצים שנערכו בבית היו מינימאליים וכלל לא מומנו על ידי הצדדים. </w:t>
      </w:r>
    </w:p>
    <w:p w:rsidR="00C35919" w:rsidRDefault="00C35919" w:rsidP="00C35919">
      <w:pPr>
        <w:pStyle w:val="a4"/>
        <w:spacing w:line="360" w:lineRule="auto"/>
        <w:ind w:left="794"/>
        <w:jc w:val="both"/>
        <w:rPr>
          <w:rFonts w:ascii="Narkisim" w:hAnsi="Narkisim" w:cs="Narkisim"/>
          <w:sz w:val="28"/>
          <w:szCs w:val="28"/>
        </w:rPr>
      </w:pPr>
    </w:p>
    <w:p w:rsidR="00C35919" w:rsidRDefault="00C35919" w:rsidP="00C35919">
      <w:pPr>
        <w:pStyle w:val="a4"/>
        <w:shd w:val="clear" w:color="auto" w:fill="FFFFFF"/>
        <w:spacing w:after="0" w:line="360" w:lineRule="auto"/>
        <w:ind w:left="794"/>
        <w:jc w:val="both"/>
        <w:rPr>
          <w:rFonts w:ascii="Narkisim" w:eastAsia="Times New Roman" w:hAnsi="Narkisim" w:cs="Narkisim"/>
          <w:color w:val="000000"/>
          <w:sz w:val="28"/>
          <w:szCs w:val="28"/>
          <w:rtl/>
        </w:rPr>
      </w:pPr>
      <w:r>
        <w:rPr>
          <w:rFonts w:ascii="Narkisim" w:hAnsi="Narkisim" w:cs="Narkisim"/>
          <w:sz w:val="28"/>
          <w:szCs w:val="28"/>
          <w:rtl/>
        </w:rPr>
        <w:t xml:space="preserve">ב.     </w:t>
      </w:r>
      <w:r>
        <w:rPr>
          <w:rFonts w:ascii="Miriam" w:hAnsi="Miriam" w:cs="Miriam"/>
          <w:sz w:val="24"/>
          <w:szCs w:val="24"/>
          <w:rtl/>
        </w:rPr>
        <w:t>בית הבכור</w:t>
      </w:r>
      <w:r>
        <w:rPr>
          <w:rFonts w:ascii="Narkisim" w:hAnsi="Narkisim" w:cs="Narkisim"/>
          <w:sz w:val="28"/>
          <w:szCs w:val="28"/>
          <w:rtl/>
        </w:rPr>
        <w:t xml:space="preserve">, אשר גם לגביו טענה המשיבה כי נרכש במהלך חיי הנישואין מכספי הצדדים. לטענת המשיבה </w:t>
      </w:r>
      <w:r>
        <w:rPr>
          <w:rFonts w:ascii="Narkisim" w:eastAsia="Times New Roman" w:hAnsi="Narkisim" w:cs="Narkisim"/>
          <w:color w:val="000000"/>
          <w:sz w:val="28"/>
          <w:szCs w:val="28"/>
          <w:rtl/>
        </w:rPr>
        <w:t xml:space="preserve">הבן אמר לה כי מסר למערער ייפוי כוח בלתי חוזר המקנה לו את הזכות לפעול בנכס כבעלים, וכי הצהיר כי הנכס אינו שלו וכי הזכויות בו רשומות על שמו רק למראית עין.   </w:t>
      </w:r>
    </w:p>
    <w:p w:rsidR="00C35919" w:rsidRDefault="00C35919" w:rsidP="00C35919">
      <w:pPr>
        <w:shd w:val="clear" w:color="auto" w:fill="FFFFFF"/>
        <w:spacing w:line="360" w:lineRule="auto"/>
        <w:ind w:left="794" w:firstLine="720"/>
        <w:jc w:val="both"/>
        <w:rPr>
          <w:rFonts w:ascii="Narkisim" w:hAnsi="Narkisim" w:cs="Narkisim"/>
          <w:color w:val="000000"/>
          <w:sz w:val="28"/>
          <w:szCs w:val="28"/>
          <w:rtl/>
        </w:rPr>
      </w:pPr>
      <w:r>
        <w:rPr>
          <w:rFonts w:ascii="Narkisim" w:hAnsi="Narkisim" w:cs="Narkisim"/>
          <w:color w:val="000000"/>
          <w:sz w:val="28"/>
          <w:szCs w:val="28"/>
          <w:rtl/>
        </w:rPr>
        <w:t xml:space="preserve">טענות אלו הוכחשו כולן על ידי המערער. המערער טען כי עסקינן בבית שנרכש על ידי ילדי הצדדים כאשר הצדדים עצמם סייעו להם באופן מינורי (40,000 ₪).  </w:t>
      </w:r>
    </w:p>
    <w:p w:rsidR="00C35919" w:rsidRDefault="00C35919" w:rsidP="00C35919">
      <w:pPr>
        <w:pStyle w:val="a4"/>
        <w:spacing w:line="360" w:lineRule="auto"/>
        <w:ind w:left="794"/>
        <w:jc w:val="both"/>
        <w:rPr>
          <w:rFonts w:ascii="Narkisim" w:hAnsi="Narkisim" w:cs="Narkisim"/>
          <w:sz w:val="28"/>
          <w:szCs w:val="28"/>
        </w:rPr>
      </w:pPr>
    </w:p>
    <w:p w:rsidR="00C35919" w:rsidRDefault="00C35919" w:rsidP="00C35919">
      <w:pPr>
        <w:pStyle w:val="a4"/>
        <w:spacing w:line="360" w:lineRule="auto"/>
        <w:ind w:left="794"/>
        <w:jc w:val="both"/>
        <w:rPr>
          <w:rFonts w:ascii="Narkisim" w:hAnsi="Narkisim" w:cs="Narkisim"/>
          <w:sz w:val="28"/>
          <w:szCs w:val="28"/>
          <w:rtl/>
        </w:rPr>
      </w:pPr>
      <w:r>
        <w:rPr>
          <w:rFonts w:ascii="Narkisim" w:hAnsi="Narkisim" w:cs="Narkisim"/>
          <w:sz w:val="28"/>
          <w:szCs w:val="28"/>
          <w:rtl/>
        </w:rPr>
        <w:t xml:space="preserve">ג.    </w:t>
      </w:r>
      <w:r>
        <w:rPr>
          <w:rFonts w:ascii="Miriam" w:hAnsi="Miriam" w:cs="Miriam"/>
          <w:sz w:val="24"/>
          <w:szCs w:val="24"/>
          <w:rtl/>
        </w:rPr>
        <w:t>שאלת איזון סך 250,000 ₪</w:t>
      </w:r>
      <w:r>
        <w:rPr>
          <w:rFonts w:ascii="Narkisim" w:hAnsi="Narkisim" w:cs="Narkisim"/>
          <w:sz w:val="28"/>
          <w:szCs w:val="28"/>
          <w:rtl/>
        </w:rPr>
        <w:t xml:space="preserve">, לטענת המערער הועברו כספים אלו לחשבונו הפרטי מתוך עזבון אמו המנוחה, ואין לאזנם.  </w:t>
      </w:r>
    </w:p>
    <w:p w:rsidR="00C35919" w:rsidRDefault="00C35919" w:rsidP="00C35919">
      <w:pPr>
        <w:pStyle w:val="a4"/>
        <w:spacing w:line="360" w:lineRule="auto"/>
        <w:ind w:left="0"/>
        <w:jc w:val="both"/>
        <w:rPr>
          <w:rFonts w:ascii="Narkisim" w:hAnsi="Narkisim" w:cs="Narkisim"/>
          <w:sz w:val="28"/>
          <w:szCs w:val="28"/>
        </w:rPr>
      </w:pPr>
      <w:r>
        <w:rPr>
          <w:rFonts w:ascii="Narkisim" w:hAnsi="Narkisim" w:cs="Narkisim"/>
          <w:sz w:val="28"/>
          <w:szCs w:val="28"/>
          <w:rtl/>
        </w:rPr>
        <w:t xml:space="preserve"> </w:t>
      </w:r>
    </w:p>
    <w:p w:rsidR="00C35919" w:rsidRDefault="00C35919" w:rsidP="00C35919">
      <w:pPr>
        <w:pStyle w:val="a4"/>
        <w:spacing w:line="360" w:lineRule="auto"/>
        <w:ind w:left="0"/>
        <w:jc w:val="both"/>
        <w:rPr>
          <w:rFonts w:ascii="Miriam" w:hAnsi="Miriam" w:cs="Miriam"/>
          <w:sz w:val="24"/>
          <w:szCs w:val="24"/>
        </w:rPr>
      </w:pPr>
      <w:r>
        <w:rPr>
          <w:rFonts w:ascii="Miriam" w:hAnsi="Miriam" w:cs="Miriam"/>
          <w:sz w:val="24"/>
          <w:szCs w:val="24"/>
          <w:rtl/>
        </w:rPr>
        <w:t xml:space="preserve">פסק דינו של בית משפט קמא </w:t>
      </w:r>
    </w:p>
    <w:p w:rsidR="00C35919" w:rsidRDefault="00C35919" w:rsidP="00C35919">
      <w:pPr>
        <w:pStyle w:val="a4"/>
        <w:spacing w:line="360" w:lineRule="auto"/>
        <w:ind w:left="0"/>
        <w:jc w:val="both"/>
        <w:rPr>
          <w:rFonts w:ascii="Narkisim" w:hAnsi="Narkisim" w:cs="Narkisim"/>
          <w:sz w:val="28"/>
          <w:szCs w:val="28"/>
          <w:rtl/>
        </w:rPr>
      </w:pPr>
    </w:p>
    <w:p w:rsidR="00C35919" w:rsidRDefault="00C35919" w:rsidP="00C35919">
      <w:pPr>
        <w:spacing w:line="360" w:lineRule="auto"/>
        <w:ind w:left="84"/>
        <w:jc w:val="both"/>
        <w:rPr>
          <w:rFonts w:ascii="Narkisim" w:hAnsi="Narkisim" w:cs="Narkisim"/>
          <w:sz w:val="28"/>
          <w:szCs w:val="28"/>
        </w:rPr>
      </w:pPr>
      <w:r>
        <w:rPr>
          <w:rFonts w:ascii="Narkisim" w:hAnsi="Narkisim" w:cs="Narkisim"/>
          <w:sz w:val="28"/>
          <w:szCs w:val="28"/>
          <w:rtl/>
        </w:rPr>
        <w:t>8.</w:t>
      </w:r>
      <w:r>
        <w:rPr>
          <w:rFonts w:ascii="Narkisim" w:hAnsi="Narkisim" w:cs="Narkisim"/>
          <w:sz w:val="28"/>
          <w:szCs w:val="28"/>
          <w:rtl/>
        </w:rPr>
        <w:tab/>
        <w:t xml:space="preserve"> ביחס לבית נקבע, בניגוד לטענת המשיבה, כי הבית היה בבעלות אמו המנוחה של המערער וככזה הוא היווה חלק מעזבונה. נקבע שלא הוכח </w:t>
      </w:r>
      <w:r>
        <w:rPr>
          <w:rFonts w:ascii="Narkisim" w:hAnsi="Narkisim" w:cs="Narkisim" w:hint="cs"/>
          <w:sz w:val="28"/>
          <w:szCs w:val="28"/>
          <w:rtl/>
        </w:rPr>
        <w:t>ש</w:t>
      </w:r>
      <w:r>
        <w:rPr>
          <w:rFonts w:ascii="Narkisim" w:hAnsi="Narkisim" w:cs="Narkisim"/>
          <w:sz w:val="28"/>
          <w:szCs w:val="28"/>
          <w:rtl/>
        </w:rPr>
        <w:t>הבית נרכש מכספים המשותפים לצדדים עצמם.</w:t>
      </w:r>
      <w:r>
        <w:rPr>
          <w:rFonts w:ascii="Narkisim" w:hAnsi="Narkisim" w:cs="Narkisim" w:hint="cs"/>
          <w:sz w:val="28"/>
          <w:szCs w:val="28"/>
          <w:rtl/>
        </w:rPr>
        <w:t xml:space="preserve"> </w:t>
      </w:r>
      <w:r>
        <w:rPr>
          <w:rFonts w:ascii="Narkisim" w:hAnsi="Narkisim" w:cs="Narkisim"/>
          <w:sz w:val="28"/>
          <w:szCs w:val="28"/>
          <w:rtl/>
        </w:rPr>
        <w:t xml:space="preserve">על אף שכך, נקבע כי יש לראות בבית נכס משותף, שכן הוכח שהמערער התכוון לשתף בו את המשיבה אחר פטירת אמו המנוחה וזכייתו בבית.  </w:t>
      </w:r>
    </w:p>
    <w:p w:rsidR="00C35919" w:rsidRDefault="00C35919" w:rsidP="00C35919">
      <w:pPr>
        <w:pStyle w:val="a4"/>
        <w:spacing w:line="360" w:lineRule="auto"/>
        <w:ind w:left="0"/>
        <w:jc w:val="both"/>
        <w:rPr>
          <w:rFonts w:ascii="Narkisim" w:hAnsi="Narkisim" w:cs="Narkisim"/>
          <w:sz w:val="28"/>
          <w:szCs w:val="28"/>
          <w:rtl/>
        </w:rPr>
      </w:pPr>
    </w:p>
    <w:p w:rsidR="00C35919" w:rsidRDefault="00C35919" w:rsidP="00C35919">
      <w:pPr>
        <w:pStyle w:val="a4"/>
        <w:spacing w:line="360" w:lineRule="auto"/>
        <w:ind w:left="0" w:firstLine="720"/>
        <w:jc w:val="both"/>
        <w:rPr>
          <w:rFonts w:ascii="Narkisim" w:hAnsi="Narkisim" w:cs="Narkisim"/>
          <w:sz w:val="28"/>
          <w:szCs w:val="28"/>
        </w:rPr>
      </w:pPr>
      <w:r>
        <w:rPr>
          <w:rFonts w:ascii="Narkisim" w:hAnsi="Narkisim" w:cs="Narkisim"/>
          <w:sz w:val="28"/>
          <w:szCs w:val="28"/>
          <w:rtl/>
        </w:rPr>
        <w:t xml:space="preserve">בית המשפט העיר כי אכן עולות תמיהות סביב רישום הבית ברמלה על שם האם המנוחה, שעה שזו לא התגוררה כלל בבית, אלא דווקא הצדדים וילדיהם, כשם שלא הובהר כדבעי מדוע האם המנוחה רכשה בית נוסף וגדול, שעה שאת הדירה בה </w:t>
      </w:r>
      <w:r>
        <w:rPr>
          <w:rFonts w:ascii="Narkisim" w:hAnsi="Narkisim" w:cs="Narkisim"/>
          <w:sz w:val="28"/>
          <w:szCs w:val="28"/>
          <w:rtl/>
        </w:rPr>
        <w:lastRenderedPageBreak/>
        <w:t xml:space="preserve">התגוררה רכשה יחד עם אחיו הצעיר של המערער ורעייתו, תוך נטילת משכנתא. ואולם, על אף שכך, אין בתמיהות אלו על מנת לאיין את הקביעה שיש לקבוע את הבעלות בבית על פי הרישום במרשם המקרקעין. </w:t>
      </w:r>
    </w:p>
    <w:p w:rsidR="00C35919" w:rsidRDefault="00C35919" w:rsidP="00C35919">
      <w:pPr>
        <w:pStyle w:val="a4"/>
        <w:spacing w:line="360" w:lineRule="auto"/>
        <w:ind w:left="0"/>
        <w:jc w:val="both"/>
        <w:rPr>
          <w:rFonts w:ascii="Narkisim" w:hAnsi="Narkisim" w:cs="Narkisim"/>
          <w:sz w:val="28"/>
          <w:szCs w:val="28"/>
        </w:rPr>
      </w:pPr>
    </w:p>
    <w:p w:rsidR="00C35919" w:rsidRDefault="00C35919" w:rsidP="00C35919">
      <w:pPr>
        <w:shd w:val="clear" w:color="auto" w:fill="FFFFFF"/>
        <w:spacing w:line="360" w:lineRule="auto"/>
        <w:jc w:val="both"/>
        <w:rPr>
          <w:rFonts w:ascii="Narkisim" w:hAnsi="Narkisim" w:cs="Narkisim"/>
          <w:color w:val="000000"/>
          <w:sz w:val="28"/>
          <w:szCs w:val="28"/>
        </w:rPr>
      </w:pPr>
      <w:r>
        <w:rPr>
          <w:rFonts w:ascii="Narkisim" w:hAnsi="Narkisim" w:cs="Narkisim"/>
          <w:sz w:val="28"/>
          <w:szCs w:val="28"/>
          <w:rtl/>
        </w:rPr>
        <w:t>9.</w:t>
      </w:r>
      <w:r>
        <w:rPr>
          <w:rFonts w:ascii="Narkisim" w:hAnsi="Narkisim" w:cs="Narkisim"/>
          <w:sz w:val="28"/>
          <w:szCs w:val="28"/>
          <w:rtl/>
        </w:rPr>
        <w:tab/>
        <w:t>מכל מקום, בית משפט קמא קיבל, כאמור, את טענת המשיבה, כי הבית הוא בית משותף לצדדים למרות שזכויותיו הועברו למערער בירושה מאמו המנוחה.   הובהר כי על אף שסעיף</w:t>
      </w:r>
      <w:r>
        <w:rPr>
          <w:rFonts w:ascii="Narkisim" w:hAnsi="Narkisim" w:cs="Narkisim"/>
          <w:color w:val="000000"/>
          <w:sz w:val="28"/>
          <w:szCs w:val="28"/>
          <w:rtl/>
        </w:rPr>
        <w:t xml:space="preserve"> 5(א)(1) </w:t>
      </w:r>
      <w:r>
        <w:rPr>
          <w:rFonts w:ascii="Miriam" w:hAnsi="Miriam" w:cs="Miriam"/>
          <w:color w:val="000000"/>
          <w:rtl/>
        </w:rPr>
        <w:t>לחוק יחסי ממון</w:t>
      </w:r>
      <w:r>
        <w:rPr>
          <w:rFonts w:ascii="Narkisim" w:hAnsi="Narkisim" w:cs="Narkisim"/>
          <w:color w:val="000000"/>
          <w:sz w:val="28"/>
          <w:szCs w:val="28"/>
          <w:rtl/>
        </w:rPr>
        <w:t xml:space="preserve"> מחריג מהאיזון המשאבים נכסים שהתקבלו בירושה, הרי שאין בדבר למנוע הכרה בשיתוף ספציפי בנכס שכזה ככל שיוכח, מכוח הדין הכללי ובכלל זה דיני החוזים (בע"מ 1059/17 </w:t>
      </w:r>
      <w:r>
        <w:rPr>
          <w:rFonts w:ascii="Miriam" w:hAnsi="Miriam" w:cs="Miriam"/>
          <w:color w:val="000000"/>
          <w:rtl/>
        </w:rPr>
        <w:t>פלוני נ' פלונית</w:t>
      </w:r>
      <w:r>
        <w:rPr>
          <w:rFonts w:ascii="Narkisim" w:hAnsi="Narkisim" w:cs="Narkisim"/>
          <w:color w:val="000000"/>
          <w:sz w:val="28"/>
          <w:szCs w:val="28"/>
          <w:rtl/>
        </w:rPr>
        <w:t xml:space="preserve"> (09.02.2017), </w:t>
      </w:r>
      <w:r>
        <w:rPr>
          <w:rFonts w:ascii="Narkisim" w:hAnsi="Narkisim" w:cs="Narkisim"/>
          <w:sz w:val="28"/>
          <w:szCs w:val="28"/>
          <w:rtl/>
        </w:rPr>
        <w:t xml:space="preserve">ע"א 1915/91 </w:t>
      </w:r>
      <w:r>
        <w:rPr>
          <w:rFonts w:ascii="Miriam" w:hAnsi="Miriam" w:cs="Miriam"/>
          <w:color w:val="000000"/>
          <w:rtl/>
        </w:rPr>
        <w:t>יעקובי נ' יעקובי</w:t>
      </w:r>
      <w:r>
        <w:rPr>
          <w:rFonts w:ascii="Narkisim" w:hAnsi="Narkisim" w:cs="Narkisim"/>
          <w:sz w:val="28"/>
          <w:szCs w:val="28"/>
          <w:rtl/>
        </w:rPr>
        <w:t xml:space="preserve">, (1995), רע"א 8672/00 </w:t>
      </w:r>
      <w:r>
        <w:rPr>
          <w:rFonts w:ascii="Miriam" w:hAnsi="Miriam" w:cs="Miriam"/>
          <w:color w:val="000000"/>
          <w:rtl/>
        </w:rPr>
        <w:t>אבו רומי נ' אבו רומי</w:t>
      </w:r>
      <w:r>
        <w:rPr>
          <w:rFonts w:ascii="Narkisim" w:hAnsi="Narkisim" w:cs="Narkisim"/>
          <w:sz w:val="28"/>
          <w:szCs w:val="28"/>
          <w:rtl/>
        </w:rPr>
        <w:t xml:space="preserve">, (2002), ע"א 7684/04 </w:t>
      </w:r>
      <w:r>
        <w:rPr>
          <w:rFonts w:ascii="Miriam" w:hAnsi="Miriam" w:cs="Miriam"/>
          <w:color w:val="000000"/>
          <w:rtl/>
        </w:rPr>
        <w:t>ששון נ' ששון,</w:t>
      </w:r>
      <w:r>
        <w:rPr>
          <w:rFonts w:ascii="Narkisim" w:hAnsi="Narkisim" w:cs="Narkisim"/>
          <w:sz w:val="28"/>
          <w:szCs w:val="28"/>
          <w:rtl/>
        </w:rPr>
        <w:t xml:space="preserve"> (2005)). כך ניתן לדירת מגורים מעמד מיוחד וכי יש להקל על בן הזוג הטוען לשיתוף בה מכוח כוונת שיתוף ספציפית אחר שיעלה בידו להוכיח "דבר מה נוסף" המלמד על כוונה זו (</w:t>
      </w:r>
      <w:r>
        <w:rPr>
          <w:rFonts w:ascii="Narkisim" w:hAnsi="Narkisim" w:cs="Narkisim"/>
          <w:color w:val="000000"/>
          <w:sz w:val="28"/>
          <w:szCs w:val="28"/>
          <w:rtl/>
        </w:rPr>
        <w:t>בע"מ 1398/11 </w:t>
      </w:r>
      <w:r>
        <w:rPr>
          <w:rFonts w:ascii="Miriam" w:hAnsi="Miriam" w:cs="Miriam"/>
          <w:color w:val="000000"/>
          <w:rtl/>
        </w:rPr>
        <w:t>אלמונית נ' אלמוני</w:t>
      </w:r>
      <w:r>
        <w:rPr>
          <w:rFonts w:ascii="Narkisim" w:hAnsi="Narkisim" w:cs="Narkisim"/>
          <w:color w:val="000000"/>
          <w:sz w:val="28"/>
          <w:szCs w:val="28"/>
          <w:rtl/>
        </w:rPr>
        <w:t> (2012); בע"מ 2991/13 </w:t>
      </w:r>
      <w:r>
        <w:rPr>
          <w:rFonts w:ascii="Miriam" w:hAnsi="Miriam" w:cs="Miriam"/>
          <w:color w:val="000000"/>
          <w:rtl/>
        </w:rPr>
        <w:t>פלונית נ' פלוני</w:t>
      </w:r>
      <w:r>
        <w:rPr>
          <w:rFonts w:ascii="Narkisim" w:hAnsi="Narkisim" w:cs="Narkisim"/>
          <w:color w:val="000000"/>
          <w:sz w:val="28"/>
          <w:szCs w:val="28"/>
          <w:rtl/>
        </w:rPr>
        <w:t> (2013))</w:t>
      </w:r>
      <w:r>
        <w:rPr>
          <w:rFonts w:ascii="Narkisim" w:hAnsi="Narkisim" w:cs="Narkisim"/>
          <w:sz w:val="28"/>
          <w:szCs w:val="28"/>
          <w:rtl/>
        </w:rPr>
        <w:t>.</w:t>
      </w:r>
    </w:p>
    <w:p w:rsidR="00C35919" w:rsidRDefault="00C35919" w:rsidP="00C35919">
      <w:pPr>
        <w:pStyle w:val="a4"/>
        <w:shd w:val="clear" w:color="auto" w:fill="FFFFFF"/>
        <w:spacing w:after="0" w:line="360" w:lineRule="auto"/>
        <w:ind w:left="0"/>
        <w:jc w:val="both"/>
        <w:rPr>
          <w:rFonts w:ascii="Narkisim" w:eastAsia="Times New Roman" w:hAnsi="Narkisim" w:cs="Narkisim"/>
          <w:color w:val="000000"/>
          <w:sz w:val="28"/>
          <w:szCs w:val="28"/>
        </w:rPr>
      </w:pPr>
      <w:r>
        <w:rPr>
          <w:rFonts w:ascii="Narkisim" w:eastAsia="Times New Roman" w:hAnsi="Narkisim" w:cs="Narkisim"/>
          <w:color w:val="000000"/>
          <w:sz w:val="28"/>
          <w:szCs w:val="28"/>
        </w:rPr>
        <w:t xml:space="preserve"> </w:t>
      </w:r>
    </w:p>
    <w:p w:rsidR="00C35919" w:rsidRDefault="00C35919" w:rsidP="00C35919">
      <w:pPr>
        <w:shd w:val="clear" w:color="auto" w:fill="FFFFFF"/>
        <w:spacing w:line="360" w:lineRule="auto"/>
        <w:jc w:val="both"/>
        <w:rPr>
          <w:rFonts w:ascii="Narkisim" w:hAnsi="Narkisim" w:cs="Narkisim"/>
          <w:color w:val="000000"/>
          <w:sz w:val="28"/>
          <w:szCs w:val="28"/>
        </w:rPr>
      </w:pPr>
      <w:r>
        <w:rPr>
          <w:rFonts w:ascii="Narkisim" w:hAnsi="Narkisim" w:cs="Narkisim"/>
          <w:color w:val="000000"/>
          <w:sz w:val="28"/>
          <w:szCs w:val="28"/>
          <w:rtl/>
        </w:rPr>
        <w:t>10.</w:t>
      </w:r>
      <w:r>
        <w:rPr>
          <w:rFonts w:ascii="Narkisim" w:hAnsi="Narkisim" w:cs="Narkisim"/>
          <w:color w:val="000000"/>
          <w:sz w:val="28"/>
          <w:szCs w:val="28"/>
          <w:rtl/>
        </w:rPr>
        <w:tab/>
        <w:t xml:space="preserve">בית המשפט מצא כי הצדדים, הנשואים למעלה מ 35 שנה, התגוררו בבית  משך כ-18 שנה (ועודם מתגוררים בו), גידלו בו את ילדיהם במהלך השנים, ונהגו בניהם בשיתוף בכל הקשור לניהול משק בית וכיוצ"ב. כך גם לא נערך כל הסכם בין האם המנוחה לצדדים בכל הקשור למגוריהם בבית. עוד שוכנע בית המשפט מגרסת המשיבה כי המערער הציג בפניה מצג לפיו ככל ויירש את בית המגורים מאמו לאחר אריכות ימיה, יהווה הבית נכס משפחתי המשותף לשניהם, וכי המשיבה הסתמכה על מצג זה, בקובעו – </w:t>
      </w:r>
    </w:p>
    <w:p w:rsidR="00C35919" w:rsidRDefault="00C35919" w:rsidP="00C35919">
      <w:pPr>
        <w:pStyle w:val="a4"/>
        <w:rPr>
          <w:rFonts w:ascii="Narkisim" w:eastAsia="Times New Roman" w:hAnsi="Narkisim" w:cs="Narkisim"/>
          <w:color w:val="000000"/>
          <w:sz w:val="28"/>
          <w:szCs w:val="28"/>
        </w:rPr>
      </w:pPr>
    </w:p>
    <w:p w:rsidR="00C35919" w:rsidRDefault="00C35919" w:rsidP="00C35919">
      <w:pPr>
        <w:pStyle w:val="a4"/>
        <w:shd w:val="clear" w:color="auto" w:fill="FFFFFF"/>
        <w:spacing w:after="0" w:line="240" w:lineRule="auto"/>
        <w:ind w:left="1076" w:right="993"/>
        <w:jc w:val="both"/>
        <w:rPr>
          <w:rFonts w:ascii="Narkisim" w:eastAsia="Times New Roman" w:hAnsi="Narkisim" w:cs="Narkisim"/>
          <w:color w:val="000000"/>
          <w:sz w:val="28"/>
          <w:szCs w:val="28"/>
          <w:rtl/>
        </w:rPr>
      </w:pPr>
      <w:r>
        <w:rPr>
          <w:rFonts w:ascii="Narkisim" w:eastAsia="Times New Roman" w:hAnsi="Narkisim" w:cs="Narkisim"/>
          <w:color w:val="000000"/>
          <w:sz w:val="28"/>
          <w:szCs w:val="28"/>
          <w:rtl/>
        </w:rPr>
        <w:t xml:space="preserve">"עדות האישה בעניין זה הייתה אמינה ומשכנעת, והתרשמתי כי היא אכן הסתמכה על המצג אותו הציג האיש בפניה במהלך השנים, לפני ואחרי פטירת האם המנוחה, וכי האמינה כי בית המגורים בו התגוררו הצדדים שנים רבות ובו גידלו את ילדיהם המשותפים, הינו נכס משותף"  </w:t>
      </w:r>
    </w:p>
    <w:p w:rsidR="00C35919" w:rsidRDefault="00C35919" w:rsidP="00C35919">
      <w:pPr>
        <w:pStyle w:val="a4"/>
        <w:spacing w:line="360" w:lineRule="auto"/>
        <w:ind w:left="0"/>
        <w:jc w:val="both"/>
        <w:rPr>
          <w:rFonts w:ascii="Narkisim" w:eastAsia="Times New Roman" w:hAnsi="Narkisim" w:cs="Narkisim"/>
          <w:color w:val="000000"/>
          <w:sz w:val="28"/>
          <w:szCs w:val="28"/>
          <w:rtl/>
        </w:rPr>
      </w:pPr>
    </w:p>
    <w:p w:rsidR="00C35919" w:rsidRDefault="00C35919" w:rsidP="00C35919">
      <w:pPr>
        <w:shd w:val="clear" w:color="auto" w:fill="FFFFFF"/>
        <w:spacing w:line="360" w:lineRule="auto"/>
        <w:jc w:val="both"/>
        <w:rPr>
          <w:rFonts w:ascii="Narkisim" w:hAnsi="Narkisim" w:cs="Narkisim"/>
          <w:color w:val="000000"/>
          <w:sz w:val="28"/>
          <w:szCs w:val="28"/>
          <w:rtl/>
        </w:rPr>
      </w:pPr>
      <w:r>
        <w:rPr>
          <w:rFonts w:ascii="Narkisim" w:hAnsi="Narkisim" w:cs="Narkisim"/>
          <w:color w:val="000000"/>
          <w:sz w:val="28"/>
          <w:szCs w:val="28"/>
          <w:rtl/>
        </w:rPr>
        <w:t>11.</w:t>
      </w:r>
      <w:r>
        <w:rPr>
          <w:rFonts w:ascii="Narkisim" w:hAnsi="Narkisim" w:cs="Narkisim"/>
          <w:color w:val="000000"/>
          <w:sz w:val="28"/>
          <w:szCs w:val="28"/>
          <w:rtl/>
        </w:rPr>
        <w:tab/>
        <w:t xml:space="preserve">נקבע, כי אף הראיות החיצוניות תומכות בגרסתה של האישה. על אף שבית המגורים נרשם על שם האם המנוחה, הצדדים הם אלו שחיו במהלך כל השנים בבית </w:t>
      </w:r>
      <w:r>
        <w:rPr>
          <w:rFonts w:ascii="Narkisim" w:hAnsi="Narkisim" w:cs="Narkisim"/>
          <w:color w:val="000000"/>
          <w:sz w:val="28"/>
          <w:szCs w:val="28"/>
          <w:rtl/>
        </w:rPr>
        <w:lastRenderedPageBreak/>
        <w:t xml:space="preserve">המגורים וגידלו בו את ילדיהם, וזאת במשך עשרות שנים וללא הסכם ו/או תשלום כלשהו לאם בגין מגוריהם. ודוק. גם אם אין בהתנהלות זו כדי להוכיח כי הנכס היה בבעלות של הצדדים מלכתחילה ולא בבעלות האם, הרי שיש בהתנהלות זו כדי לחזק את גרסת האישה כי האיש הציג בפניה מצג לאורך השנים כי ככל ויירש את הבית, הרי שיהא זה נכס משותף, דבר המשתלב אף עם העובדה שהאם המנוחה קבעה בצוואתה הוראה מיוחדת ביחס לבית ברמלה אותו ציוותה אך ורק למערער ולא חילקה אותו בין שאר ילדיה הרבים. </w:t>
      </w:r>
    </w:p>
    <w:p w:rsidR="00C35919" w:rsidRDefault="00C35919" w:rsidP="00C35919">
      <w:pPr>
        <w:pStyle w:val="a4"/>
        <w:shd w:val="clear" w:color="auto" w:fill="FFFFFF"/>
        <w:spacing w:after="0" w:line="360" w:lineRule="auto"/>
        <w:ind w:left="0"/>
        <w:jc w:val="both"/>
        <w:rPr>
          <w:rFonts w:ascii="Narkisim" w:eastAsia="Times New Roman" w:hAnsi="Narkisim" w:cs="Narkisim"/>
          <w:color w:val="000000"/>
          <w:sz w:val="28"/>
          <w:szCs w:val="28"/>
        </w:rPr>
      </w:pPr>
    </w:p>
    <w:p w:rsidR="00C35919" w:rsidRDefault="00C35919" w:rsidP="00C35919">
      <w:pPr>
        <w:pStyle w:val="a4"/>
        <w:spacing w:line="360" w:lineRule="auto"/>
        <w:ind w:left="0"/>
        <w:jc w:val="both"/>
        <w:rPr>
          <w:rFonts w:ascii="Narkisim" w:eastAsia="Times New Roman" w:hAnsi="Narkisim" w:cs="Narkisim"/>
          <w:b/>
          <w:bCs/>
          <w:color w:val="000000"/>
          <w:sz w:val="28"/>
          <w:szCs w:val="28"/>
          <w:u w:val="single"/>
        </w:rPr>
      </w:pPr>
      <w:r>
        <w:rPr>
          <w:rFonts w:ascii="Narkisim" w:eastAsia="Times New Roman" w:hAnsi="Narkisim" w:cs="Narkisim"/>
          <w:color w:val="000000"/>
          <w:sz w:val="28"/>
          <w:szCs w:val="28"/>
          <w:rtl/>
        </w:rPr>
        <w:t>כמו כן שוכנע בית המשפט כי בבית ברמלה בוצעו שיפוצים משמעותיים, הראשון טרם שנכנסו הצדדים להתגורר בו והשני בשנת 2011, שיפוץ שכלל תוספת קומה המשמשת כיחידת דיור לבנם של הצדדים, עניין שאף בו יש לחזק את המצג שהוצג על ידי המערער כי עסקינן בנכס משותף או כי ככל שיירש נכס זה הוא ישותף בין בני הזוג.  בית המשפט למד על ההיקף המשמעותי של השיפוץ הן מעדויות הצדדים שלפניו והן מתוך עותק הבקשה להיתר בניה מיום 8.6.2011, שהוצג על ידי המשיבה.  בית המשפט אף עמד על כך שהמערער  לא ציין בתצהירו כי השיפוץ לא מומן על ידי הצדדים, אלא הסתפק בטענתו שהשיפוץ היה מינורי. טענה שנדחתה נוכח הראיות שהוצגו.</w:t>
      </w:r>
    </w:p>
    <w:p w:rsidR="00C35919" w:rsidRDefault="00C35919" w:rsidP="00C35919">
      <w:pPr>
        <w:pStyle w:val="a4"/>
        <w:spacing w:line="360" w:lineRule="auto"/>
        <w:ind w:left="0"/>
        <w:jc w:val="both"/>
        <w:rPr>
          <w:rFonts w:ascii="Narkisim" w:eastAsia="Times New Roman" w:hAnsi="Narkisim" w:cs="Narkisim"/>
          <w:color w:val="000000"/>
          <w:sz w:val="28"/>
          <w:szCs w:val="28"/>
          <w:rtl/>
        </w:rPr>
      </w:pPr>
      <w:r w:rsidRPr="00A8528B">
        <w:rPr>
          <w:rFonts w:ascii="Narkisim" w:eastAsia="Times New Roman" w:hAnsi="Narkisim" w:cs="Narkisim" w:hint="cs"/>
          <w:color w:val="000000"/>
          <w:sz w:val="28"/>
          <w:szCs w:val="28"/>
          <w:rtl/>
        </w:rPr>
        <w:t xml:space="preserve">יתרה מזו, </w:t>
      </w:r>
      <w:r w:rsidRPr="00A8528B">
        <w:rPr>
          <w:rFonts w:ascii="Narkisim" w:eastAsia="Times New Roman" w:hAnsi="Narkisim" w:cs="Narkisim"/>
          <w:color w:val="000000"/>
          <w:sz w:val="28"/>
          <w:szCs w:val="28"/>
          <w:rtl/>
        </w:rPr>
        <w:t xml:space="preserve">בית המשפט התייחס לכך שגם לאחר מותה של האם המנוחה, ולאחר שהבית נרשם על שמו של המערער, משך שנים ארוכות, עדיין חיו בני הזוג בבית המגורים והמשיכו לנהל בו משק בית משותף.  </w:t>
      </w:r>
    </w:p>
    <w:p w:rsidR="00C35919" w:rsidRPr="00A8528B" w:rsidRDefault="00C35919" w:rsidP="00C35919">
      <w:pPr>
        <w:pStyle w:val="a4"/>
        <w:spacing w:line="360" w:lineRule="auto"/>
        <w:ind w:left="0"/>
        <w:jc w:val="both"/>
        <w:rPr>
          <w:rFonts w:ascii="Narkisim" w:eastAsia="Times New Roman" w:hAnsi="Narkisim" w:cs="Narkisim"/>
          <w:color w:val="000000"/>
          <w:sz w:val="28"/>
          <w:szCs w:val="28"/>
          <w:rtl/>
        </w:rPr>
      </w:pPr>
    </w:p>
    <w:p w:rsidR="00C35919" w:rsidRDefault="00C35919" w:rsidP="00C35919">
      <w:pPr>
        <w:pStyle w:val="a4"/>
        <w:spacing w:line="360" w:lineRule="auto"/>
        <w:ind w:left="0"/>
        <w:jc w:val="both"/>
        <w:rPr>
          <w:rFonts w:ascii="Narkisim" w:eastAsia="Times New Roman" w:hAnsi="Narkisim" w:cs="Narkisim"/>
          <w:color w:val="000000"/>
          <w:sz w:val="28"/>
          <w:szCs w:val="28"/>
          <w:rtl/>
        </w:rPr>
      </w:pPr>
      <w:r>
        <w:rPr>
          <w:rFonts w:ascii="Narkisim" w:eastAsia="Times New Roman" w:hAnsi="Narkisim" w:cs="Narkisim"/>
          <w:color w:val="000000"/>
          <w:sz w:val="28"/>
          <w:szCs w:val="28"/>
          <w:rtl/>
        </w:rPr>
        <w:t>בית המשפט מצא</w:t>
      </w:r>
      <w:r>
        <w:rPr>
          <w:rFonts w:ascii="Narkisim" w:eastAsia="Times New Roman" w:hAnsi="Narkisim" w:cs="Narkisim" w:hint="cs"/>
          <w:color w:val="000000"/>
          <w:sz w:val="28"/>
          <w:szCs w:val="28"/>
          <w:rtl/>
        </w:rPr>
        <w:t>, אפוא,</w:t>
      </w:r>
      <w:r>
        <w:rPr>
          <w:rFonts w:ascii="Narkisim" w:eastAsia="Times New Roman" w:hAnsi="Narkisim" w:cs="Narkisim"/>
          <w:color w:val="000000"/>
          <w:sz w:val="28"/>
          <w:szCs w:val="28"/>
          <w:rtl/>
        </w:rPr>
        <w:t xml:space="preserve"> כי יש בכלל האמור כדי להקים את אותו "דבר מה נוסף"  הנדרש לצורך הוכחת כוונת שיתוף ספציפית ביחס לבית ברמלה.  </w:t>
      </w:r>
    </w:p>
    <w:p w:rsidR="00C35919" w:rsidRDefault="00C35919" w:rsidP="00C35919">
      <w:pPr>
        <w:pStyle w:val="a4"/>
        <w:spacing w:line="360" w:lineRule="auto"/>
        <w:ind w:left="0"/>
        <w:jc w:val="both"/>
        <w:rPr>
          <w:rFonts w:ascii="Narkisim" w:eastAsia="Times New Roman" w:hAnsi="Narkisim" w:cs="Narkisim"/>
          <w:color w:val="000000"/>
          <w:sz w:val="28"/>
          <w:szCs w:val="28"/>
          <w:rtl/>
        </w:rPr>
      </w:pPr>
    </w:p>
    <w:p w:rsidR="00C35919" w:rsidRDefault="00C35919" w:rsidP="00C35919">
      <w:pPr>
        <w:spacing w:line="360" w:lineRule="auto"/>
        <w:jc w:val="both"/>
        <w:rPr>
          <w:rFonts w:ascii="Narkisim" w:hAnsi="Narkisim" w:cs="Narkisim"/>
          <w:color w:val="000000"/>
          <w:sz w:val="28"/>
          <w:szCs w:val="28"/>
          <w:rtl/>
        </w:rPr>
      </w:pPr>
      <w:r>
        <w:rPr>
          <w:rFonts w:ascii="Narkisim" w:hAnsi="Narkisim" w:cs="Narkisim"/>
          <w:color w:val="000000"/>
          <w:sz w:val="28"/>
          <w:szCs w:val="28"/>
          <w:rtl/>
        </w:rPr>
        <w:t>12.</w:t>
      </w:r>
      <w:r>
        <w:rPr>
          <w:rFonts w:ascii="Narkisim" w:hAnsi="Narkisim" w:cs="Narkisim"/>
          <w:color w:val="000000"/>
          <w:sz w:val="28"/>
          <w:szCs w:val="28"/>
          <w:rtl/>
        </w:rPr>
        <w:tab/>
        <w:t xml:space="preserve">זאת ועוד, בית המשפט עמד על כך שעל אף שהמבוקש בכתב התביעה היה איזון משאבים ופירוק השיתוף, ולא התבקש סעד הצהרתי מפורש לפיו למשיבה זכויות בבית, הרי שהדברים עולים מתוך כתב התביעה וטענות הצדדים  והם מצויים במסגרת סמכותו של בית המשפט למתן סעד אף אם הדבר לא נתבע מפורשות. שכן עסקינן בסעד הנובע ישירות מהסעד שהתבקש בתביעה, הוא דרוש להכרעה בשאלות </w:t>
      </w:r>
      <w:r>
        <w:rPr>
          <w:rFonts w:ascii="Narkisim" w:hAnsi="Narkisim" w:cs="Narkisim"/>
          <w:color w:val="000000"/>
          <w:sz w:val="28"/>
          <w:szCs w:val="28"/>
          <w:rtl/>
        </w:rPr>
        <w:lastRenderedPageBreak/>
        <w:t>במחלוקת או לשם עשיית צדק וכל  העובדות הדרושות להענקתו של הסעד התבררו, ובידי בית המשפט עומדות הראיות הדרושות לצורך מתן הסעד ללא צורך בהתדיינות נוספת (וראו לעניין זה  - ע"א 483/16 </w:t>
      </w:r>
      <w:r>
        <w:rPr>
          <w:rFonts w:ascii="Miriam" w:hAnsi="Miriam" w:cs="Miriam"/>
          <w:color w:val="000000"/>
          <w:rtl/>
        </w:rPr>
        <w:t>חביבה יהודאי נ' חלמיש - חברה ממשלתית - עירונית לדיור שיקום ולהתחדשות שכונות בתל אביב</w:t>
      </w:r>
      <w:r w:rsidRPr="00A8528B">
        <w:rPr>
          <w:rFonts w:ascii="Miriam" w:hAnsi="Miriam" w:cs="Miriam"/>
          <w:color w:val="000000"/>
          <w:rtl/>
        </w:rPr>
        <w:t xml:space="preserve"> בע"מ</w:t>
      </w:r>
      <w:r>
        <w:rPr>
          <w:rFonts w:ascii="Narkisim" w:hAnsi="Narkisim" w:cs="Narkisim"/>
          <w:color w:val="000000"/>
          <w:sz w:val="28"/>
          <w:szCs w:val="28"/>
          <w:rtl/>
        </w:rPr>
        <w:t xml:space="preserve"> (2017)). </w:t>
      </w:r>
    </w:p>
    <w:p w:rsidR="00C35919" w:rsidRDefault="00C35919" w:rsidP="00C35919">
      <w:pPr>
        <w:pStyle w:val="a4"/>
        <w:spacing w:line="360" w:lineRule="auto"/>
        <w:ind w:left="0"/>
        <w:jc w:val="both"/>
        <w:rPr>
          <w:rFonts w:ascii="Narkisim" w:eastAsia="Times New Roman" w:hAnsi="Narkisim" w:cs="Narkisim"/>
          <w:color w:val="000000"/>
          <w:sz w:val="28"/>
          <w:szCs w:val="28"/>
        </w:rPr>
      </w:pPr>
    </w:p>
    <w:p w:rsidR="00C35919" w:rsidRDefault="00C35919" w:rsidP="00C35919">
      <w:pPr>
        <w:shd w:val="clear" w:color="auto" w:fill="FFFFFF"/>
        <w:spacing w:line="360" w:lineRule="auto"/>
        <w:jc w:val="both"/>
        <w:rPr>
          <w:rFonts w:ascii="Narkisim" w:hAnsi="Narkisim" w:cs="Narkisim"/>
          <w:color w:val="000000"/>
          <w:sz w:val="28"/>
          <w:szCs w:val="28"/>
          <w:rtl/>
        </w:rPr>
      </w:pPr>
      <w:r>
        <w:rPr>
          <w:rFonts w:ascii="Narkisim" w:hAnsi="Narkisim" w:cs="Narkisim"/>
          <w:color w:val="000000"/>
          <w:sz w:val="28"/>
          <w:szCs w:val="28"/>
          <w:rtl/>
        </w:rPr>
        <w:t>13.</w:t>
      </w:r>
      <w:r>
        <w:rPr>
          <w:rFonts w:ascii="Narkisim" w:hAnsi="Narkisim" w:cs="Narkisim"/>
          <w:color w:val="000000"/>
          <w:sz w:val="28"/>
          <w:szCs w:val="28"/>
          <w:rtl/>
        </w:rPr>
        <w:tab/>
        <w:t xml:space="preserve">בכל הקשור בבית הבכור - בית המשפט דחה את טענות המשיבה לעניין נכס זה, אחר שמצא שעסקינן בהסכם מכר הרשום על שם הבן, ואחר שהמשיבה לא הביאה את הבן לעדות ולא עלה בידה להוכיח כי רישום הזכויות אינו נכון. </w:t>
      </w:r>
      <w:r>
        <w:rPr>
          <w:rFonts w:ascii="Narkisim" w:hAnsi="Narkisim" w:cs="Narkisim" w:hint="cs"/>
          <w:color w:val="000000"/>
          <w:sz w:val="28"/>
          <w:szCs w:val="28"/>
          <w:rtl/>
        </w:rPr>
        <w:t>לא נרחיב בעניין זה שכן איש מהצדדים לא ערער על הקביעות בעניין בית הבכור.</w:t>
      </w:r>
    </w:p>
    <w:p w:rsidR="00C35919" w:rsidRDefault="00C35919" w:rsidP="00C35919">
      <w:pPr>
        <w:pStyle w:val="a4"/>
        <w:shd w:val="clear" w:color="auto" w:fill="FFFFFF"/>
        <w:spacing w:after="0" w:line="360" w:lineRule="auto"/>
        <w:ind w:left="0"/>
        <w:jc w:val="both"/>
        <w:rPr>
          <w:rFonts w:ascii="Narkisim" w:eastAsia="Times New Roman" w:hAnsi="Narkisim" w:cs="Narkisim"/>
          <w:color w:val="000000"/>
          <w:sz w:val="28"/>
          <w:szCs w:val="28"/>
          <w:rtl/>
        </w:rPr>
      </w:pPr>
      <w:r>
        <w:rPr>
          <w:rFonts w:ascii="Narkisim" w:eastAsia="Times New Roman" w:hAnsi="Narkisim" w:cs="Narkisim"/>
          <w:color w:val="000000"/>
          <w:sz w:val="28"/>
          <w:szCs w:val="28"/>
          <w:rtl/>
        </w:rPr>
        <w:t xml:space="preserve"> </w:t>
      </w:r>
    </w:p>
    <w:p w:rsidR="00C35919" w:rsidRDefault="00C35919" w:rsidP="00C35919">
      <w:pPr>
        <w:shd w:val="clear" w:color="auto" w:fill="FFFFFF"/>
        <w:spacing w:line="360" w:lineRule="auto"/>
        <w:jc w:val="both"/>
        <w:rPr>
          <w:rFonts w:ascii="Narkisim" w:hAnsi="Narkisim" w:cs="Narkisim"/>
          <w:color w:val="000000"/>
          <w:sz w:val="28"/>
          <w:szCs w:val="28"/>
        </w:rPr>
      </w:pPr>
      <w:r>
        <w:rPr>
          <w:rFonts w:ascii="Narkisim" w:hAnsi="Narkisim" w:cs="Narkisim"/>
          <w:color w:val="000000"/>
          <w:sz w:val="28"/>
          <w:szCs w:val="28"/>
          <w:rtl/>
        </w:rPr>
        <w:t>14.</w:t>
      </w:r>
      <w:r>
        <w:rPr>
          <w:rFonts w:ascii="Narkisim" w:hAnsi="Narkisim" w:cs="Narkisim"/>
          <w:color w:val="000000"/>
          <w:sz w:val="28"/>
          <w:szCs w:val="28"/>
          <w:rtl/>
        </w:rPr>
        <w:tab/>
        <w:t xml:space="preserve">בכל הקשור לסכום הכספי של 250,000 ₪ שנצברו בחשבון המערער ואשר לגביהם נטען על ידי המערער כי הוא קיבל אותם בירושה מאמו המנוחה, נקבע על ידי בית המשפט יש לדחות את טענת המערער.  אומנם נקבע בצוואת המנוחה כי היא מורישה, בין השאר, סך של 250,000 ₪ מעזבונה למערער, ואולם המערער לא צירף כל אישור לכך  שאכן התקבל לחשבון הרשום על שמו סך 250,000 ₪ בסמוך לאחר פטירת האם המנוחה (אשר נפטרה בשנת 2014), ואשר הופקד באופן נפרד ומובחן משאר הכספים המשותפים, ועדיין מצוי בו. עוד קבע בית משפט קמא שלא צורף כל אישור ו/או תדפיסי חשבון בנק ו/או פירוט מחשבון הבנק הרשום על שמו של המערער מהתקופה הרלוונטית, אליו הופקדו לטענתו כספים אלו, וזאת למרות שעסקינן בחשבון המצוי בבעלותו ובפיקוחו.  </w:t>
      </w:r>
    </w:p>
    <w:p w:rsidR="00C35919" w:rsidRDefault="00C35919" w:rsidP="00C35919">
      <w:pPr>
        <w:pStyle w:val="a4"/>
        <w:ind w:left="0"/>
        <w:rPr>
          <w:rFonts w:ascii="Narkisim" w:eastAsia="Times New Roman" w:hAnsi="Narkisim" w:cs="Narkisim"/>
          <w:color w:val="000000"/>
          <w:sz w:val="28"/>
          <w:szCs w:val="28"/>
        </w:rPr>
      </w:pPr>
    </w:p>
    <w:p w:rsidR="00C35919" w:rsidRDefault="00C35919" w:rsidP="00C35919">
      <w:pPr>
        <w:shd w:val="clear" w:color="auto" w:fill="FFFFFF"/>
        <w:spacing w:line="360" w:lineRule="auto"/>
        <w:jc w:val="both"/>
        <w:rPr>
          <w:rFonts w:ascii="Narkisim" w:eastAsiaTheme="minorHAnsi" w:hAnsi="Narkisim" w:cs="Narkisim"/>
          <w:b/>
          <w:bCs/>
          <w:sz w:val="28"/>
          <w:szCs w:val="28"/>
          <w:rtl/>
        </w:rPr>
      </w:pPr>
      <w:r>
        <w:rPr>
          <w:rFonts w:ascii="Narkisim" w:hAnsi="Narkisim" w:cs="Narkisim"/>
          <w:color w:val="000000"/>
          <w:sz w:val="28"/>
          <w:szCs w:val="28"/>
        </w:rPr>
        <w:t>15</w:t>
      </w:r>
      <w:r>
        <w:rPr>
          <w:rFonts w:ascii="Narkisim" w:hAnsi="Narkisim" w:cs="Narkisim"/>
          <w:color w:val="000000"/>
          <w:sz w:val="28"/>
          <w:szCs w:val="28"/>
          <w:rtl/>
        </w:rPr>
        <w:t>.</w:t>
      </w:r>
      <w:r>
        <w:rPr>
          <w:rFonts w:ascii="Narkisim" w:hAnsi="Narkisim" w:cs="Narkisim"/>
          <w:color w:val="000000"/>
          <w:sz w:val="28"/>
          <w:szCs w:val="28"/>
          <w:rtl/>
        </w:rPr>
        <w:tab/>
        <w:t xml:space="preserve">בית המשפט הוסיף ודחה את טענות המשיבה לפערי השתכרות ולחלוקה שאינה שוויונית.  בית המשפט מצא כי עסקינן בטענה המהווה הרחבת חזית שלא ניתנה לה הסכמת הצד שכנגד.  </w:t>
      </w:r>
      <w:r>
        <w:rPr>
          <w:rFonts w:ascii="Narkisim" w:hAnsi="Narkisim" w:cs="Narkisim"/>
          <w:sz w:val="28"/>
          <w:szCs w:val="28"/>
          <w:rtl/>
        </w:rPr>
        <w:t xml:space="preserve">לבד מכך הטענה לא הוכחה מאחר שעסקינן בשני בני זוג עובדים אשר יש להם נכסים משותפים ולא הוכח פער משמעותי ביכולות הצדדים הנובע שסיוע המשיבה למערער בהשבחת יכולותיו והשתכרותו. </w:t>
      </w:r>
    </w:p>
    <w:p w:rsidR="00C35919" w:rsidRDefault="00C35919" w:rsidP="00C35919">
      <w:pPr>
        <w:pStyle w:val="a4"/>
        <w:ind w:left="0"/>
        <w:rPr>
          <w:rFonts w:ascii="Narkisim" w:hAnsi="Narkisim" w:cs="Narkisim"/>
          <w:b/>
          <w:bCs/>
          <w:sz w:val="28"/>
          <w:szCs w:val="28"/>
        </w:rPr>
      </w:pPr>
    </w:p>
    <w:p w:rsidR="00C35919" w:rsidRDefault="00C35919" w:rsidP="00C35919">
      <w:pPr>
        <w:pStyle w:val="a4"/>
        <w:shd w:val="clear" w:color="auto" w:fill="FFFFFF"/>
        <w:spacing w:after="0" w:line="360" w:lineRule="auto"/>
        <w:ind w:left="0"/>
        <w:jc w:val="both"/>
        <w:rPr>
          <w:rFonts w:ascii="Narkisim" w:hAnsi="Narkisim" w:cs="Narkisim"/>
          <w:sz w:val="28"/>
          <w:szCs w:val="28"/>
          <w:rtl/>
        </w:rPr>
      </w:pPr>
      <w:r>
        <w:rPr>
          <w:rFonts w:ascii="Narkisim" w:hAnsi="Narkisim" w:cs="Narkisim"/>
          <w:sz w:val="28"/>
          <w:szCs w:val="28"/>
          <w:rtl/>
        </w:rPr>
        <w:t xml:space="preserve">בית המשפט הוסיף וחייב את המערער בהוצאות משפט בשיעור של 20,000 ש"ח. </w:t>
      </w:r>
    </w:p>
    <w:p w:rsidR="00C35919" w:rsidRDefault="00C35919" w:rsidP="00C35919">
      <w:pPr>
        <w:spacing w:line="360" w:lineRule="auto"/>
        <w:jc w:val="both"/>
        <w:rPr>
          <w:rFonts w:ascii="Narkisim" w:hAnsi="Narkisim" w:cs="Narkisim"/>
          <w:sz w:val="28"/>
          <w:szCs w:val="28"/>
          <w:rtl/>
        </w:rPr>
      </w:pPr>
    </w:p>
    <w:p w:rsidR="00C35919" w:rsidRDefault="00C35919" w:rsidP="00C35919">
      <w:pPr>
        <w:spacing w:line="360" w:lineRule="auto"/>
        <w:jc w:val="both"/>
        <w:rPr>
          <w:rFonts w:ascii="Narkisim" w:hAnsi="Narkisim" w:cs="Narkisim"/>
          <w:sz w:val="28"/>
          <w:szCs w:val="28"/>
          <w:rtl/>
        </w:rPr>
      </w:pPr>
    </w:p>
    <w:p w:rsidR="00C35919" w:rsidRDefault="00C35919" w:rsidP="00C35919">
      <w:pPr>
        <w:spacing w:line="360" w:lineRule="auto"/>
        <w:jc w:val="both"/>
        <w:rPr>
          <w:rFonts w:ascii="Miriam" w:hAnsi="Miriam" w:cs="Miriam"/>
          <w:rtl/>
        </w:rPr>
      </w:pPr>
      <w:r>
        <w:rPr>
          <w:rFonts w:ascii="Miriam" w:hAnsi="Miriam" w:cs="Miriam"/>
          <w:rtl/>
        </w:rPr>
        <w:t>תמצית טענות המערער</w:t>
      </w:r>
    </w:p>
    <w:p w:rsidR="00C35919" w:rsidRDefault="00C35919" w:rsidP="00C35919">
      <w:pPr>
        <w:spacing w:line="360" w:lineRule="auto"/>
        <w:jc w:val="both"/>
        <w:rPr>
          <w:rFonts w:ascii="Miriam" w:hAnsi="Miriam" w:cs="Miriam"/>
          <w:rtl/>
        </w:rPr>
      </w:pPr>
    </w:p>
    <w:p w:rsidR="00C35919" w:rsidRDefault="00C35919" w:rsidP="00C35919">
      <w:pPr>
        <w:spacing w:line="360" w:lineRule="auto"/>
        <w:jc w:val="both"/>
        <w:rPr>
          <w:rFonts w:ascii="Narkisim" w:hAnsi="Narkisim" w:cs="Narkisim"/>
          <w:sz w:val="28"/>
          <w:szCs w:val="28"/>
          <w:rtl/>
        </w:rPr>
      </w:pPr>
      <w:r>
        <w:rPr>
          <w:rFonts w:ascii="Narkisim" w:hAnsi="Narkisim" w:cs="Narkisim"/>
          <w:sz w:val="28"/>
          <w:szCs w:val="28"/>
          <w:rtl/>
        </w:rPr>
        <w:t>16.</w:t>
      </w:r>
      <w:r>
        <w:rPr>
          <w:rFonts w:ascii="Narkisim" w:hAnsi="Narkisim" w:cs="Narkisim"/>
          <w:sz w:val="28"/>
          <w:szCs w:val="28"/>
          <w:rtl/>
        </w:rPr>
        <w:tab/>
        <w:t>שגה בית משפט קמא בהגיעו לתוצאות סותרות, עת קבע, מחד, כי עסקינן בבית השייך לאם המנוחה</w:t>
      </w:r>
      <w:r>
        <w:rPr>
          <w:rFonts w:ascii="Narkisim" w:hAnsi="Narkisim" w:cs="Narkisim" w:hint="cs"/>
          <w:sz w:val="28"/>
          <w:szCs w:val="28"/>
          <w:rtl/>
        </w:rPr>
        <w:t>,</w:t>
      </w:r>
      <w:r>
        <w:rPr>
          <w:rFonts w:ascii="Narkisim" w:hAnsi="Narkisim" w:cs="Narkisim"/>
          <w:sz w:val="28"/>
          <w:szCs w:val="28"/>
          <w:rtl/>
        </w:rPr>
        <w:t xml:space="preserve"> אשר העבירה אותו למערער בצוואתה, ומאידך קבע כי עסקינן בנכס המשותף לצדדים בניגוד להוראות </w:t>
      </w:r>
      <w:r>
        <w:rPr>
          <w:rFonts w:ascii="Miriam" w:hAnsi="Miriam" w:cs="Miriam"/>
          <w:rtl/>
        </w:rPr>
        <w:t>חוק יחסי ממון</w:t>
      </w:r>
      <w:r>
        <w:rPr>
          <w:rFonts w:ascii="Narkisim" w:hAnsi="Narkisim" w:cs="Narkisim"/>
          <w:sz w:val="28"/>
          <w:szCs w:val="28"/>
          <w:rtl/>
        </w:rPr>
        <w:t xml:space="preserve">. </w:t>
      </w:r>
    </w:p>
    <w:p w:rsidR="00C35919" w:rsidRDefault="00C35919" w:rsidP="00C35919">
      <w:pPr>
        <w:pStyle w:val="a4"/>
        <w:spacing w:line="360" w:lineRule="auto"/>
        <w:ind w:left="0"/>
        <w:jc w:val="both"/>
        <w:rPr>
          <w:rFonts w:ascii="Narkisim" w:hAnsi="Narkisim" w:cs="Narkisim"/>
          <w:sz w:val="28"/>
          <w:szCs w:val="28"/>
        </w:rPr>
      </w:pPr>
      <w:r>
        <w:rPr>
          <w:rFonts w:ascii="Narkisim" w:hAnsi="Narkisim" w:cs="Narkisim"/>
          <w:sz w:val="28"/>
          <w:szCs w:val="28"/>
          <w:rtl/>
        </w:rPr>
        <w:t xml:space="preserve"> </w:t>
      </w:r>
    </w:p>
    <w:p w:rsidR="00C35919" w:rsidRDefault="00C35919" w:rsidP="00C35919">
      <w:pPr>
        <w:spacing w:line="360" w:lineRule="auto"/>
        <w:jc w:val="both"/>
        <w:rPr>
          <w:rFonts w:ascii="Narkisim" w:hAnsi="Narkisim" w:cs="Narkisim"/>
          <w:sz w:val="28"/>
          <w:szCs w:val="28"/>
        </w:rPr>
      </w:pPr>
      <w:r>
        <w:rPr>
          <w:rFonts w:ascii="Narkisim" w:hAnsi="Narkisim" w:cs="Narkisim"/>
          <w:sz w:val="28"/>
          <w:szCs w:val="28"/>
          <w:rtl/>
        </w:rPr>
        <w:t>17.</w:t>
      </w:r>
      <w:r>
        <w:rPr>
          <w:rFonts w:ascii="Narkisim" w:hAnsi="Narkisim" w:cs="Narkisim"/>
          <w:sz w:val="28"/>
          <w:szCs w:val="28"/>
          <w:rtl/>
        </w:rPr>
        <w:tab/>
        <w:t xml:space="preserve">שגה בית משפט קמא בקביעתו כי עסקינן בדירת מגורים יחידה, שכן לצדדים יש דירה משותפת נוספת הרשומה על שמם בחלקים שווים.  </w:t>
      </w:r>
    </w:p>
    <w:p w:rsidR="00C35919" w:rsidRDefault="00C35919" w:rsidP="00C35919">
      <w:pPr>
        <w:pStyle w:val="a4"/>
        <w:ind w:left="0"/>
        <w:rPr>
          <w:rFonts w:ascii="Narkisim" w:hAnsi="Narkisim" w:cs="Narkisim"/>
          <w:sz w:val="28"/>
          <w:szCs w:val="28"/>
        </w:rPr>
      </w:pPr>
    </w:p>
    <w:p w:rsidR="00C35919" w:rsidRDefault="00C35919" w:rsidP="00C35919">
      <w:pPr>
        <w:spacing w:line="360" w:lineRule="auto"/>
        <w:jc w:val="both"/>
        <w:rPr>
          <w:rFonts w:ascii="Narkisim" w:hAnsi="Narkisim" w:cs="Narkisim"/>
          <w:sz w:val="28"/>
          <w:szCs w:val="28"/>
          <w:rtl/>
        </w:rPr>
      </w:pPr>
      <w:r>
        <w:rPr>
          <w:rFonts w:ascii="Narkisim" w:hAnsi="Narkisim" w:cs="Narkisim"/>
          <w:sz w:val="28"/>
          <w:szCs w:val="28"/>
          <w:rtl/>
        </w:rPr>
        <w:t>18.</w:t>
      </w:r>
      <w:r>
        <w:rPr>
          <w:rFonts w:ascii="Narkisim" w:hAnsi="Narkisim" w:cs="Narkisim"/>
          <w:sz w:val="28"/>
          <w:szCs w:val="28"/>
          <w:rtl/>
        </w:rPr>
        <w:tab/>
        <w:t xml:space="preserve">שגה בית המשפט עת התעלם מהמסד העובדתי השקרי אותו הציבה המשיבה  בכתב התביעה ועיקרו כי בית המגורים אינו שייך כלל לאמו המנוחה של המערער וכי למעשה מדובר בנכס שנרכש מכספי הצדדים.  הסעד שניתן על ידי בית משפט קמא ולפיו הוכחה שותפות בנכס הנזכר, ניתן למעשה מבלי שהתבקש בכתב התביעה ומבלי שהונחה התשתית העובדתית למתן סעד זה, ואין הוא יכול להתיישב בעם קביעת בית המשפט כי הבית אכן היה שייך לאם המנוחה.     </w:t>
      </w:r>
    </w:p>
    <w:p w:rsidR="00C35919" w:rsidRDefault="00C35919" w:rsidP="00C35919">
      <w:pPr>
        <w:pStyle w:val="a4"/>
        <w:spacing w:line="360" w:lineRule="auto"/>
        <w:ind w:left="0"/>
        <w:jc w:val="both"/>
        <w:rPr>
          <w:rFonts w:ascii="Narkisim" w:hAnsi="Narkisim" w:cs="Narkisim"/>
          <w:sz w:val="28"/>
          <w:szCs w:val="28"/>
        </w:rPr>
      </w:pPr>
    </w:p>
    <w:p w:rsidR="00C35919" w:rsidRDefault="00C35919" w:rsidP="00C35919">
      <w:pPr>
        <w:spacing w:line="360" w:lineRule="auto"/>
        <w:jc w:val="both"/>
        <w:rPr>
          <w:rFonts w:ascii="Narkisim" w:hAnsi="Narkisim" w:cs="Narkisim"/>
          <w:sz w:val="28"/>
          <w:szCs w:val="28"/>
        </w:rPr>
      </w:pPr>
      <w:r>
        <w:rPr>
          <w:rFonts w:ascii="Narkisim" w:hAnsi="Narkisim" w:cs="Narkisim"/>
          <w:sz w:val="28"/>
          <w:szCs w:val="28"/>
        </w:rPr>
        <w:t>19</w:t>
      </w:r>
      <w:r>
        <w:rPr>
          <w:rFonts w:ascii="Narkisim" w:hAnsi="Narkisim" w:cs="Narkisim"/>
          <w:sz w:val="28"/>
          <w:szCs w:val="28"/>
          <w:rtl/>
        </w:rPr>
        <w:t>.</w:t>
      </w:r>
      <w:r>
        <w:rPr>
          <w:rFonts w:ascii="Narkisim" w:hAnsi="Narkisim" w:cs="Narkisim"/>
          <w:sz w:val="28"/>
          <w:szCs w:val="28"/>
          <w:rtl/>
        </w:rPr>
        <w:tab/>
        <w:t>שגה בית המשפט בקביעתו כי אין להחריג מהאיזון סך של 250,000 ₪ שהתקבלו אצל המערער בירושה מאמו המנוחה מבלי שהדבר נבדק על ידי אקטואר.</w:t>
      </w:r>
    </w:p>
    <w:p w:rsidR="00C35919" w:rsidRDefault="00C35919" w:rsidP="00C35919">
      <w:pPr>
        <w:pStyle w:val="a4"/>
        <w:spacing w:line="360" w:lineRule="auto"/>
        <w:ind w:left="0"/>
        <w:jc w:val="both"/>
        <w:rPr>
          <w:rFonts w:ascii="Narkisim" w:hAnsi="Narkisim" w:cs="Narkisim"/>
          <w:sz w:val="28"/>
          <w:szCs w:val="28"/>
        </w:rPr>
      </w:pPr>
    </w:p>
    <w:p w:rsidR="00C35919" w:rsidRDefault="00C35919" w:rsidP="00C35919">
      <w:pPr>
        <w:spacing w:line="360" w:lineRule="auto"/>
        <w:jc w:val="both"/>
        <w:rPr>
          <w:rFonts w:ascii="Miriam" w:hAnsi="Miriam" w:cs="Miriam"/>
          <w:rtl/>
        </w:rPr>
      </w:pPr>
      <w:r>
        <w:rPr>
          <w:rFonts w:ascii="Miriam" w:hAnsi="Miriam" w:cs="Miriam"/>
          <w:rtl/>
        </w:rPr>
        <w:t>תמצית טענות המשיבה</w:t>
      </w:r>
    </w:p>
    <w:p w:rsidR="00C35919" w:rsidRDefault="00C35919" w:rsidP="00C35919">
      <w:pPr>
        <w:pStyle w:val="a4"/>
        <w:spacing w:line="360" w:lineRule="auto"/>
        <w:ind w:left="0"/>
        <w:jc w:val="both"/>
        <w:rPr>
          <w:rFonts w:ascii="Narkisim" w:hAnsi="Narkisim" w:cs="Narkisim"/>
          <w:sz w:val="28"/>
          <w:szCs w:val="28"/>
          <w:rtl/>
        </w:rPr>
      </w:pPr>
    </w:p>
    <w:p w:rsidR="00C35919" w:rsidRDefault="00C35919" w:rsidP="00C35919">
      <w:pPr>
        <w:spacing w:line="360" w:lineRule="auto"/>
        <w:jc w:val="both"/>
        <w:rPr>
          <w:rFonts w:ascii="Narkisim" w:hAnsi="Narkisim" w:cs="Narkisim"/>
          <w:sz w:val="28"/>
          <w:szCs w:val="28"/>
          <w:rtl/>
        </w:rPr>
      </w:pPr>
      <w:r>
        <w:rPr>
          <w:rFonts w:ascii="Narkisim" w:hAnsi="Narkisim" w:cs="Narkisim"/>
          <w:sz w:val="28"/>
          <w:szCs w:val="28"/>
        </w:rPr>
        <w:t>20</w:t>
      </w:r>
      <w:r>
        <w:rPr>
          <w:rFonts w:ascii="Narkisim" w:hAnsi="Narkisim" w:cs="Narkisim"/>
          <w:sz w:val="28"/>
          <w:szCs w:val="28"/>
          <w:rtl/>
        </w:rPr>
        <w:t>.  לא נפלה כל סתירה בפסק דינו של בית משפט קמא.  בית המשפט אכן הבהיר כי בית המגורים היה בבעלות האם המנוחה, ואולם הוסיף וקבע כי שוכנע בקיומה של כוונת שיתוף ביחס לבית גם אחר שהגיע לידי המערער בירושה מכוח צוואת אמו. אין מדובר, אפוא, בסתירה אלא בקביעות עובדתיות שונות המצטברות ועומדות יחדיו.</w:t>
      </w:r>
    </w:p>
    <w:p w:rsidR="00C35919" w:rsidRDefault="00C35919" w:rsidP="00C35919">
      <w:pPr>
        <w:pStyle w:val="a4"/>
        <w:spacing w:line="360" w:lineRule="auto"/>
        <w:ind w:left="0"/>
        <w:jc w:val="both"/>
        <w:rPr>
          <w:rFonts w:ascii="Narkisim" w:hAnsi="Narkisim" w:cs="Narkisim"/>
          <w:sz w:val="28"/>
          <w:szCs w:val="28"/>
        </w:rPr>
      </w:pPr>
    </w:p>
    <w:p w:rsidR="00C35919" w:rsidRDefault="00C35919" w:rsidP="00C35919">
      <w:pPr>
        <w:pStyle w:val="a4"/>
        <w:spacing w:line="360" w:lineRule="auto"/>
        <w:ind w:left="0"/>
        <w:jc w:val="both"/>
        <w:rPr>
          <w:rFonts w:ascii="Narkisim" w:hAnsi="Narkisim" w:cs="Narkisim"/>
          <w:sz w:val="28"/>
          <w:szCs w:val="28"/>
        </w:rPr>
      </w:pPr>
      <w:r>
        <w:rPr>
          <w:rFonts w:ascii="Narkisim" w:hAnsi="Narkisim" w:cs="Narkisim"/>
          <w:sz w:val="28"/>
          <w:szCs w:val="28"/>
          <w:rtl/>
        </w:rPr>
        <w:lastRenderedPageBreak/>
        <w:t>21.</w:t>
      </w:r>
      <w:r>
        <w:rPr>
          <w:rFonts w:ascii="Narkisim" w:hAnsi="Narkisim" w:cs="Narkisim"/>
          <w:sz w:val="28"/>
          <w:szCs w:val="28"/>
          <w:rtl/>
        </w:rPr>
        <w:tab/>
        <w:t xml:space="preserve">בית המגורים הוא אכן בית המגורים היחיד של הצדדים,  העובדה שהצדדים רכשו בית מגורים נוסף אינה רלבנטית לנדון שכן מדובר בבית המשמש כמשרדו של המערער, וממילא בית המגורים היחיד שיש לצדדים והיחיד המשמש אותם למגורים הוא בית המגורים הנדון.  </w:t>
      </w:r>
    </w:p>
    <w:p w:rsidR="00C35919" w:rsidRDefault="00C35919" w:rsidP="00C35919">
      <w:pPr>
        <w:pStyle w:val="a4"/>
        <w:ind w:left="0"/>
        <w:rPr>
          <w:rFonts w:ascii="Narkisim" w:hAnsi="Narkisim" w:cs="Narkisim"/>
          <w:sz w:val="28"/>
          <w:szCs w:val="28"/>
        </w:rPr>
      </w:pPr>
    </w:p>
    <w:p w:rsidR="00C35919" w:rsidRDefault="00C35919" w:rsidP="00C35919">
      <w:pPr>
        <w:spacing w:line="360" w:lineRule="auto"/>
        <w:jc w:val="both"/>
        <w:rPr>
          <w:rFonts w:ascii="Narkisim" w:hAnsi="Narkisim" w:cs="Narkisim"/>
          <w:sz w:val="28"/>
          <w:szCs w:val="28"/>
          <w:rtl/>
        </w:rPr>
      </w:pPr>
      <w:r>
        <w:rPr>
          <w:rFonts w:ascii="Narkisim" w:hAnsi="Narkisim" w:cs="Narkisim"/>
          <w:sz w:val="28"/>
          <w:szCs w:val="28"/>
        </w:rPr>
        <w:t>22</w:t>
      </w:r>
      <w:r>
        <w:rPr>
          <w:rFonts w:ascii="Narkisim" w:hAnsi="Narkisim" w:cs="Narkisim"/>
          <w:sz w:val="28"/>
          <w:szCs w:val="28"/>
          <w:rtl/>
        </w:rPr>
        <w:t>.</w:t>
      </w:r>
      <w:r>
        <w:rPr>
          <w:rFonts w:ascii="Narkisim" w:hAnsi="Narkisim" w:cs="Narkisim"/>
          <w:sz w:val="28"/>
          <w:szCs w:val="28"/>
          <w:rtl/>
        </w:rPr>
        <w:tab/>
        <w:t xml:space="preserve">הסעד שניתן על ידי בית המשפט אינו חורג מגדר סמכותו.  בית המגורים הוא אחד מהנכסים לגביהם התבקש פירוק השיתוף בתביעת המשיבה, ממילא הסעד שניתן בסופו של יום ולפיו למשיבה מחצית הזכויות בבית המגורים הוא סעד מתבקש בהיותו – דרוש לשם הכרעה בשאלות שבמחלוקת ולשם עשיית צדק,  נובע ישירות מהנטען בכתב התביעה,  והעובדות שהנדרשות לצורך הענקתו התבררו עד תום לפני הערכאה הדיונית.  </w:t>
      </w:r>
    </w:p>
    <w:p w:rsidR="00C35919" w:rsidRDefault="00C35919" w:rsidP="00C35919">
      <w:pPr>
        <w:pStyle w:val="a4"/>
        <w:ind w:left="0"/>
        <w:rPr>
          <w:rFonts w:ascii="Narkisim" w:hAnsi="Narkisim" w:cs="Narkisim"/>
          <w:sz w:val="28"/>
          <w:szCs w:val="28"/>
        </w:rPr>
      </w:pPr>
    </w:p>
    <w:p w:rsidR="00C35919" w:rsidRDefault="00C35919" w:rsidP="00C35919">
      <w:pPr>
        <w:pStyle w:val="a4"/>
        <w:spacing w:line="360" w:lineRule="auto"/>
        <w:ind w:left="0"/>
        <w:jc w:val="both"/>
        <w:rPr>
          <w:rFonts w:ascii="Narkisim" w:hAnsi="Narkisim" w:cs="Narkisim"/>
          <w:sz w:val="28"/>
          <w:szCs w:val="28"/>
          <w:rtl/>
        </w:rPr>
      </w:pPr>
      <w:r>
        <w:rPr>
          <w:rFonts w:ascii="Narkisim" w:hAnsi="Narkisim" w:cs="Narkisim"/>
          <w:sz w:val="28"/>
          <w:szCs w:val="28"/>
          <w:rtl/>
        </w:rPr>
        <w:t>23.</w:t>
      </w:r>
      <w:r>
        <w:rPr>
          <w:rFonts w:ascii="Narkisim" w:hAnsi="Narkisim" w:cs="Narkisim"/>
          <w:sz w:val="28"/>
          <w:szCs w:val="28"/>
          <w:rtl/>
        </w:rPr>
        <w:tab/>
        <w:t xml:space="preserve">צדק בית משפט קמא בקביעתו ביחס לאיזון סך 250,000 ₪, שכן המערער לא הביא כל ראיה שסך של 250,000 ש"ח אכן הועבר אליו מכספי אמו המנוחה לחשבונו, וכי בהעדר ראייה פשוטה זו </w:t>
      </w:r>
      <w:r>
        <w:rPr>
          <w:rFonts w:ascii="Narkisim" w:hAnsi="Narkisim" w:cs="Narkisim" w:hint="cs"/>
          <w:sz w:val="28"/>
          <w:szCs w:val="28"/>
          <w:rtl/>
        </w:rPr>
        <w:t xml:space="preserve">אשר נקל להביאה לו היה בה ממש, </w:t>
      </w:r>
      <w:r>
        <w:rPr>
          <w:rFonts w:ascii="Narkisim" w:hAnsi="Narkisim" w:cs="Narkisim"/>
          <w:sz w:val="28"/>
          <w:szCs w:val="28"/>
          <w:rtl/>
        </w:rPr>
        <w:t xml:space="preserve">הרי שיש לזקוף הדבר לחובתו ולאזן את כלל הכספים המצויים בחשבונות הצדדים.  </w:t>
      </w:r>
    </w:p>
    <w:p w:rsidR="00C35919" w:rsidRDefault="00C35919" w:rsidP="00C35919">
      <w:pPr>
        <w:pStyle w:val="a4"/>
        <w:rPr>
          <w:rFonts w:ascii="Narkisim" w:hAnsi="Narkisim" w:cs="Narkisim"/>
          <w:sz w:val="28"/>
          <w:szCs w:val="28"/>
        </w:rPr>
      </w:pPr>
    </w:p>
    <w:p w:rsidR="00C35919" w:rsidRDefault="00C35919" w:rsidP="00C35919">
      <w:pPr>
        <w:pStyle w:val="a4"/>
        <w:spacing w:line="360" w:lineRule="auto"/>
        <w:ind w:left="3600"/>
        <w:jc w:val="both"/>
        <w:rPr>
          <w:rFonts w:ascii="Narkisim" w:hAnsi="Narkisim" w:cs="Narkisim"/>
          <w:sz w:val="28"/>
          <w:szCs w:val="28"/>
          <w:rtl/>
        </w:rPr>
      </w:pPr>
      <w:r>
        <w:rPr>
          <w:rFonts w:ascii="Narkisim" w:hAnsi="Narkisim" w:cs="Narkisim"/>
          <w:sz w:val="28"/>
          <w:szCs w:val="28"/>
          <w:rtl/>
        </w:rPr>
        <w:t>****</w:t>
      </w:r>
    </w:p>
    <w:p w:rsidR="00C35919" w:rsidRDefault="00C35919" w:rsidP="00C35919">
      <w:pPr>
        <w:spacing w:line="360" w:lineRule="auto"/>
        <w:jc w:val="both"/>
        <w:rPr>
          <w:rFonts w:ascii="Narkisim" w:hAnsi="Narkisim" w:cs="Narkisim"/>
          <w:sz w:val="28"/>
          <w:szCs w:val="28"/>
          <w:rtl/>
        </w:rPr>
      </w:pPr>
      <w:r>
        <w:rPr>
          <w:rFonts w:ascii="Narkisim" w:hAnsi="Narkisim" w:cs="Narkisim"/>
          <w:sz w:val="28"/>
          <w:szCs w:val="28"/>
          <w:rtl/>
        </w:rPr>
        <w:t>אחר שבחנו את טענות הצדדים מצאנו לדחות הערעור.  להלן נימוקינו –</w:t>
      </w:r>
    </w:p>
    <w:p w:rsidR="00C35919" w:rsidRDefault="00C35919" w:rsidP="00C35919">
      <w:pPr>
        <w:spacing w:line="360" w:lineRule="auto"/>
        <w:jc w:val="both"/>
        <w:rPr>
          <w:rFonts w:ascii="Narkisim" w:hAnsi="Narkisim" w:cs="Narkisim"/>
          <w:sz w:val="28"/>
          <w:szCs w:val="28"/>
        </w:rPr>
      </w:pPr>
    </w:p>
    <w:p w:rsidR="00C35919" w:rsidRDefault="00C35919" w:rsidP="00C35919">
      <w:pPr>
        <w:spacing w:line="360" w:lineRule="auto"/>
        <w:jc w:val="both"/>
        <w:rPr>
          <w:rFonts w:ascii="Narkisim" w:hAnsi="Narkisim" w:cs="Narkisim"/>
          <w:sz w:val="28"/>
          <w:szCs w:val="28"/>
          <w:rtl/>
        </w:rPr>
      </w:pPr>
      <w:r>
        <w:rPr>
          <w:rFonts w:ascii="Narkisim" w:hAnsi="Narkisim" w:cs="Narkisim"/>
          <w:sz w:val="28"/>
          <w:szCs w:val="28"/>
          <w:rtl/>
        </w:rPr>
        <w:t>24.</w:t>
      </w:r>
      <w:r>
        <w:rPr>
          <w:rFonts w:ascii="Narkisim" w:hAnsi="Narkisim" w:cs="Narkisim"/>
          <w:sz w:val="28"/>
          <w:szCs w:val="28"/>
          <w:rtl/>
        </w:rPr>
        <w:tab/>
        <w:t>ערעורו של המערער מתייחס לשתי קביעות של בית משפט קמא</w:t>
      </w:r>
      <w:r>
        <w:rPr>
          <w:rFonts w:ascii="Narkisim" w:hAnsi="Narkisim" w:cs="Narkisim" w:hint="cs"/>
          <w:sz w:val="28"/>
          <w:szCs w:val="28"/>
          <w:rtl/>
        </w:rPr>
        <w:t xml:space="preserve"> - </w:t>
      </w:r>
      <w:r>
        <w:rPr>
          <w:rFonts w:ascii="Narkisim" w:hAnsi="Narkisim" w:cs="Narkisim"/>
          <w:sz w:val="28"/>
          <w:szCs w:val="28"/>
          <w:rtl/>
        </w:rPr>
        <w:t xml:space="preserve"> </w:t>
      </w:r>
      <w:r w:rsidRPr="00F93357">
        <w:rPr>
          <w:rFonts w:ascii="Miriam" w:hAnsi="Miriam" w:cs="Miriam"/>
          <w:rtl/>
        </w:rPr>
        <w:t>האחת,</w:t>
      </w:r>
      <w:r>
        <w:rPr>
          <w:rFonts w:ascii="Narkisim" w:hAnsi="Narkisim" w:cs="Narkisim"/>
          <w:sz w:val="28"/>
          <w:szCs w:val="28"/>
          <w:rtl/>
        </w:rPr>
        <w:t xml:space="preserve"> כי הזכויות בבית המגורים שייכות לשני הצדדים בחלקים שווים, על אך שעסקינן בנכס חיצוני אשר המערער זכה בו מתוך ירושת אמו וזאת אחר שהוכחה כוונת שיתוף ספציפי ביחס אליו. </w:t>
      </w:r>
      <w:r w:rsidRPr="00F93357">
        <w:rPr>
          <w:rFonts w:ascii="Miriam" w:hAnsi="Miriam" w:cs="Miriam"/>
          <w:rtl/>
        </w:rPr>
        <w:t>השני</w:t>
      </w:r>
      <w:r w:rsidRPr="00F93357">
        <w:rPr>
          <w:rFonts w:ascii="Miriam" w:hAnsi="Miriam" w:cs="Miriam" w:hint="cs"/>
          <w:rtl/>
        </w:rPr>
        <w:t>יה</w:t>
      </w:r>
      <w:r>
        <w:rPr>
          <w:rFonts w:ascii="Narkisim" w:hAnsi="Narkisim" w:cs="Narkisim"/>
          <w:sz w:val="28"/>
          <w:szCs w:val="28"/>
          <w:rtl/>
        </w:rPr>
        <w:t xml:space="preserve"> – כי יש לאזן אף סך של 250,000 ₪ למרות טענות המערער כי עסקינן בסך שהגיע לידיו מתוך עזבון אמו. נתייחס, אפוא, לשני רכיבים אלו בפסיקת בית משפט קמא. </w:t>
      </w:r>
    </w:p>
    <w:p w:rsidR="00C35919" w:rsidRDefault="00C35919" w:rsidP="00C35919">
      <w:pPr>
        <w:spacing w:line="360" w:lineRule="auto"/>
        <w:jc w:val="both"/>
        <w:rPr>
          <w:rFonts w:ascii="Narkisim" w:hAnsi="Narkisim" w:cs="Narkisim"/>
          <w:sz w:val="28"/>
          <w:szCs w:val="28"/>
          <w:rtl/>
        </w:rPr>
      </w:pPr>
    </w:p>
    <w:p w:rsidR="00C35919" w:rsidRDefault="00C35919" w:rsidP="00C35919">
      <w:pPr>
        <w:spacing w:line="360" w:lineRule="auto"/>
        <w:jc w:val="both"/>
        <w:rPr>
          <w:rFonts w:ascii="Miriam" w:hAnsi="Miriam" w:cs="Miriam"/>
          <w:rtl/>
        </w:rPr>
      </w:pPr>
      <w:r>
        <w:rPr>
          <w:rFonts w:ascii="Miriam" w:hAnsi="Miriam" w:cs="Miriam"/>
          <w:rtl/>
        </w:rPr>
        <w:t xml:space="preserve">הבית </w:t>
      </w:r>
    </w:p>
    <w:p w:rsidR="00C35919" w:rsidRDefault="00C35919" w:rsidP="00C35919">
      <w:pPr>
        <w:spacing w:line="360" w:lineRule="auto"/>
        <w:jc w:val="both"/>
        <w:rPr>
          <w:rFonts w:ascii="Miriam" w:hAnsi="Miriam" w:cs="Miriam"/>
        </w:rPr>
      </w:pPr>
    </w:p>
    <w:p w:rsidR="00C35919" w:rsidRDefault="00C35919" w:rsidP="00C35919">
      <w:pPr>
        <w:pStyle w:val="a4"/>
        <w:spacing w:line="360" w:lineRule="auto"/>
        <w:ind w:left="0"/>
        <w:jc w:val="both"/>
        <w:rPr>
          <w:rFonts w:ascii="Narkisim" w:hAnsi="Narkisim" w:cs="Narkisim"/>
          <w:sz w:val="28"/>
          <w:szCs w:val="28"/>
          <w:rtl/>
        </w:rPr>
      </w:pPr>
      <w:r>
        <w:rPr>
          <w:rFonts w:ascii="Narkisim" w:hAnsi="Narkisim" w:cs="Narkisim"/>
          <w:sz w:val="28"/>
          <w:szCs w:val="28"/>
          <w:rtl/>
        </w:rPr>
        <w:lastRenderedPageBreak/>
        <w:t>25.</w:t>
      </w:r>
      <w:r>
        <w:rPr>
          <w:rFonts w:ascii="Narkisim" w:hAnsi="Narkisim" w:cs="Narkisim"/>
          <w:sz w:val="28"/>
          <w:szCs w:val="28"/>
          <w:rtl/>
        </w:rPr>
        <w:tab/>
        <w:t>טענתו הראשונית של המערער היא כי ביחס לבית נתן בית משפט קמא סעד שכלל לא התבקש לתיתו, שכן המשיבה עתרה בכתב תביעתה לפירוק השיתוף בזכויות בבית על אף רישומו על שם האם המנוחה בטענה כי הרישום הוא פיקטיבי ונרשם מטעמי מס – טענה שנדחתה, וממילא לא יכול היה בית המשפט לקבוע קביעות המושתתות על מסד עובדתי אחר ולפיו ה</w:t>
      </w:r>
      <w:r>
        <w:rPr>
          <w:rFonts w:ascii="Narkisim" w:hAnsi="Narkisim" w:cs="Narkisim" w:hint="cs"/>
          <w:sz w:val="28"/>
          <w:szCs w:val="28"/>
          <w:rtl/>
        </w:rPr>
        <w:t xml:space="preserve">תקיים </w:t>
      </w:r>
      <w:r>
        <w:rPr>
          <w:rFonts w:ascii="Narkisim" w:hAnsi="Narkisim" w:cs="Narkisim"/>
          <w:sz w:val="28"/>
          <w:szCs w:val="28"/>
          <w:rtl/>
        </w:rPr>
        <w:t xml:space="preserve">שיתוף ספציפי בנכס.    </w:t>
      </w:r>
    </w:p>
    <w:p w:rsidR="00C35919" w:rsidRDefault="00C35919" w:rsidP="00C35919">
      <w:pPr>
        <w:pStyle w:val="a4"/>
        <w:spacing w:line="360" w:lineRule="auto"/>
        <w:ind w:left="0"/>
        <w:jc w:val="both"/>
        <w:rPr>
          <w:rFonts w:ascii="Narkisim" w:hAnsi="Narkisim" w:cs="Narkisim"/>
          <w:sz w:val="28"/>
          <w:szCs w:val="28"/>
        </w:rPr>
      </w:pPr>
    </w:p>
    <w:p w:rsidR="00C35919" w:rsidRDefault="00C35919" w:rsidP="00C35919">
      <w:pPr>
        <w:pStyle w:val="a4"/>
        <w:spacing w:line="360" w:lineRule="auto"/>
        <w:ind w:left="0"/>
        <w:jc w:val="both"/>
        <w:rPr>
          <w:rFonts w:ascii="Narkisim" w:hAnsi="Narkisim" w:cs="Narkisim"/>
          <w:sz w:val="28"/>
          <w:szCs w:val="28"/>
          <w:rtl/>
        </w:rPr>
      </w:pPr>
      <w:r>
        <w:rPr>
          <w:rFonts w:ascii="Narkisim" w:hAnsi="Narkisim" w:cs="Narkisim"/>
          <w:sz w:val="28"/>
          <w:szCs w:val="28"/>
          <w:rtl/>
        </w:rPr>
        <w:t xml:space="preserve">יש לדחות טענה זו.  כבר בכתב תביעתה הקדימה המשיבה וציינה כי ענייני הכספים והרכוש במסגרת נישואי הצדדים נוהלו על ידי המערער בלבד והיא אינה מודעת לאופן התנהלותו עד תום. מתוך שכך עתרה ביחס לבית המגורים כי – </w:t>
      </w:r>
    </w:p>
    <w:p w:rsidR="00C35919" w:rsidRDefault="00C35919" w:rsidP="00C35919">
      <w:pPr>
        <w:pStyle w:val="a4"/>
        <w:spacing w:line="360" w:lineRule="auto"/>
        <w:jc w:val="both"/>
        <w:rPr>
          <w:rFonts w:ascii="Narkisim" w:hAnsi="Narkisim" w:cs="Narkisim"/>
          <w:sz w:val="28"/>
          <w:szCs w:val="28"/>
          <w:rtl/>
        </w:rPr>
      </w:pPr>
    </w:p>
    <w:p w:rsidR="00C35919" w:rsidRDefault="00C35919" w:rsidP="00C35919">
      <w:pPr>
        <w:pStyle w:val="a4"/>
        <w:spacing w:line="240" w:lineRule="auto"/>
        <w:ind w:left="1218" w:right="993"/>
        <w:jc w:val="both"/>
        <w:rPr>
          <w:rFonts w:ascii="Narkisim" w:hAnsi="Narkisim" w:cs="Narkisim"/>
          <w:sz w:val="28"/>
          <w:szCs w:val="28"/>
          <w:rtl/>
        </w:rPr>
      </w:pPr>
      <w:r>
        <w:rPr>
          <w:rFonts w:ascii="Narkisim" w:hAnsi="Narkisim" w:cs="Narkisim"/>
          <w:sz w:val="28"/>
          <w:szCs w:val="28"/>
          <w:rtl/>
        </w:rPr>
        <w:t>"אין צריך לומר כי הבית הוא בית מגורי הצדדים משנת 2005 ואילך. והוא נכס השייך לשני הצדדים כאחד, בין עפ"י רישומו המקורי על שם האם המנוחה ובין כפי רישומו כיום על שם הנתבע.  זהו ללא עוררין נכס השייך לשני הצדדים כאחד"  (סעיף 26 לכתב התביעה)</w:t>
      </w:r>
    </w:p>
    <w:p w:rsidR="00C35919" w:rsidRDefault="00C35919" w:rsidP="00C35919">
      <w:pPr>
        <w:pStyle w:val="a4"/>
        <w:spacing w:line="360" w:lineRule="auto"/>
        <w:jc w:val="both"/>
        <w:rPr>
          <w:rFonts w:ascii="Narkisim" w:hAnsi="Narkisim" w:cs="Narkisim"/>
          <w:sz w:val="28"/>
          <w:szCs w:val="28"/>
          <w:rtl/>
        </w:rPr>
      </w:pPr>
    </w:p>
    <w:p w:rsidR="00C35919" w:rsidRDefault="00C35919" w:rsidP="00C35919">
      <w:pPr>
        <w:pStyle w:val="a4"/>
        <w:spacing w:line="360" w:lineRule="auto"/>
        <w:ind w:left="0"/>
        <w:jc w:val="both"/>
        <w:rPr>
          <w:rFonts w:ascii="Narkisim" w:hAnsi="Narkisim" w:cs="Narkisim"/>
          <w:sz w:val="28"/>
          <w:szCs w:val="28"/>
          <w:rtl/>
        </w:rPr>
      </w:pPr>
      <w:r>
        <w:rPr>
          <w:rFonts w:ascii="Narkisim" w:hAnsi="Narkisim" w:cs="Narkisim"/>
          <w:sz w:val="28"/>
          <w:szCs w:val="28"/>
          <w:rtl/>
        </w:rPr>
        <w:t xml:space="preserve">גם אם ניסוח הסעד יכול היה להיכתב באופן ברור ומפורט יותר, וגם אם הניסוח הוא רחב ואינו ממוקד, והדיבור "כוונת שיתוף ספציפי" כלל אינו נכלל בו, הרי שכוונת הדברים ברורה הן מתוך הקשרם הנזכר בכתב התביעה והן מתוך טענות המשיבה לאורך כל ההליך בבית משפט קמא, לרבות הנטען בתצהיר עדותה הראשית -  המשיבה טענה לזכויות בבית מתוך כך שהמערער הציגו, וכך היא אף הבינה,  שהזכויות בו משותפות להם.  הובהר על ידי המשיבה כי לסברתה יש לחלוק בזכויות בבית המגורים, מתוך כך שלאורך שנים רבות, משנת 2005, הוא שימש כבית המגורים של הצדדים, כאשר המערער הציג כלפיה מצג ולפיו מדובר בנכס המשותף לצדדים. גם אם סברה המשיבה כי הנכס נרכש בעיקרו מכספי הצדדים עצמם וכי רישומו על שם האם המנוחה לא שיקף את המציאות, הרי בכל מקרה גם אחר פטירת האם המנוחה ואחר שהמערער זכה בזכויות בבית, המשיכו הצדדים להתגורר בו, כאשר לטענת המשיבה היה ברור לצדדים מתוך התנהלות המערער כי הוא נכס המשותף להם.  </w:t>
      </w:r>
    </w:p>
    <w:p w:rsidR="00C35919" w:rsidRDefault="00C35919" w:rsidP="00C35919">
      <w:pPr>
        <w:spacing w:line="360" w:lineRule="auto"/>
        <w:jc w:val="both"/>
        <w:rPr>
          <w:rFonts w:ascii="Narkisim" w:hAnsi="Narkisim" w:cs="Narkisim"/>
          <w:sz w:val="28"/>
          <w:szCs w:val="28"/>
          <w:rtl/>
        </w:rPr>
      </w:pPr>
      <w:r>
        <w:rPr>
          <w:rFonts w:ascii="Narkisim" w:hAnsi="Narkisim" w:cs="Narkisim"/>
          <w:sz w:val="28"/>
          <w:szCs w:val="28"/>
          <w:rtl/>
        </w:rPr>
        <w:t xml:space="preserve">מכל מקום, החלטת בית המשפט המתייחסת לבית המגורים כנכס לגביו יש להחיל שיתופיות בין הצדדים אינה חורגת מהנטען בכתב התביעה באופן קיצוני המאיין את מתן הסעד. כפי שציינו, בסעיף 26 לכתב התביעה לא מכוונת המשיבה לאחוז דווקא </w:t>
      </w:r>
      <w:r>
        <w:rPr>
          <w:rFonts w:ascii="Narkisim" w:hAnsi="Narkisim" w:cs="Narkisim"/>
          <w:sz w:val="28"/>
          <w:szCs w:val="28"/>
          <w:rtl/>
        </w:rPr>
        <w:lastRenderedPageBreak/>
        <w:t xml:space="preserve">ב"חזקת השיתוף"  והוא מספיק רחב על מנת לקלוט אף קביעה לעניין שיתוף ספציפי מכוח דיני החוזים, כפי שהבהיר בית המשפט עצמו בסעיף 45 לפסק דינו עת עמד על כך שעסקינן בסעד אשר יש בסמכותו לתיתו. </w:t>
      </w:r>
    </w:p>
    <w:p w:rsidR="00C35919" w:rsidRDefault="00C35919" w:rsidP="00C35919">
      <w:pPr>
        <w:spacing w:line="360" w:lineRule="auto"/>
        <w:jc w:val="both"/>
        <w:rPr>
          <w:rFonts w:ascii="Narkisim" w:hAnsi="Narkisim" w:cs="Narkisim"/>
          <w:sz w:val="28"/>
          <w:szCs w:val="28"/>
          <w:rtl/>
        </w:rPr>
      </w:pPr>
      <w:r>
        <w:rPr>
          <w:rFonts w:ascii="Narkisim" w:hAnsi="Narkisim" w:cs="Narkisim"/>
          <w:sz w:val="28"/>
          <w:szCs w:val="28"/>
          <w:rtl/>
        </w:rPr>
        <w:t xml:space="preserve"> </w:t>
      </w:r>
      <w:r>
        <w:rPr>
          <w:rFonts w:ascii="Narkisim" w:hAnsi="Narkisim" w:cs="Narkisim"/>
          <w:sz w:val="28"/>
          <w:rtl/>
        </w:rPr>
        <w:t>26.</w:t>
      </w:r>
      <w:r>
        <w:rPr>
          <w:rFonts w:ascii="Narkisim" w:hAnsi="Narkisim" w:cs="Narkisim"/>
          <w:sz w:val="28"/>
          <w:rtl/>
        </w:rPr>
        <w:tab/>
        <w:t xml:space="preserve">ולגופם של דברים – כידוע, אף אחר חקיקתו של </w:t>
      </w:r>
      <w:r>
        <w:rPr>
          <w:rFonts w:ascii="Miriam" w:hAnsi="Miriam" w:cs="Miriam"/>
          <w:rtl/>
        </w:rPr>
        <w:t>חוק יחסי ממון</w:t>
      </w:r>
      <w:r>
        <w:rPr>
          <w:rFonts w:ascii="Narkisim" w:hAnsi="Narkisim" w:cs="Narkisim"/>
          <w:sz w:val="28"/>
          <w:rtl/>
        </w:rPr>
        <w:t xml:space="preserve"> אפשר שיוכח שיתוף רכושי בנכסים חיצוניים מכוח "הדין הכללי" ע"פ "הלכת השיתוף הספציפי" (ע"א 8672/00 </w:t>
      </w:r>
      <w:r>
        <w:rPr>
          <w:rFonts w:ascii="Miriam" w:hAnsi="Miriam" w:cs="Miriam"/>
          <w:rtl/>
        </w:rPr>
        <w:t>אבו-רומי נ' אבו-רומי,</w:t>
      </w:r>
      <w:r>
        <w:rPr>
          <w:rFonts w:ascii="Narkisim" w:hAnsi="Narkisim" w:cs="Narkisim"/>
          <w:sz w:val="28"/>
          <w:rtl/>
        </w:rPr>
        <w:t xml:space="preserve">  (2002)), ולפיה אין מניעה כי בן-זוג יטען מכוח דין כללי כלשהו שבידיו זכויות בנכס הרשום על שם בן-הזוג האחר, וכפי שהדברים סוכמו על ידי כב' הנשיאה א. חיות בעניין דנג"ץ  8537/18 </w:t>
      </w:r>
      <w:r>
        <w:rPr>
          <w:rFonts w:ascii="Miriam" w:hAnsi="Miriam" w:cs="Miriam"/>
          <w:rtl/>
        </w:rPr>
        <w:t xml:space="preserve">פלונית נ' בית הדין הרבני הגדול בירושלים </w:t>
      </w:r>
      <w:r>
        <w:rPr>
          <w:rFonts w:ascii="Narkisim" w:hAnsi="Narkisim" w:cs="Narkisim"/>
          <w:sz w:val="28"/>
          <w:rtl/>
        </w:rPr>
        <w:t xml:space="preserve">(2021) (להלן: </w:t>
      </w:r>
      <w:r>
        <w:rPr>
          <w:rFonts w:ascii="Miriam" w:hAnsi="Miriam" w:cs="Miriam"/>
          <w:rtl/>
        </w:rPr>
        <w:t>דנג"ץ הבגידה</w:t>
      </w:r>
      <w:r>
        <w:rPr>
          <w:rFonts w:ascii="Narkisim" w:hAnsi="Narkisim" w:cs="Narkisim"/>
          <w:sz w:val="28"/>
          <w:rtl/>
        </w:rPr>
        <w:t xml:space="preserve">): </w:t>
      </w:r>
    </w:p>
    <w:p w:rsidR="00C35919" w:rsidRDefault="00C35919" w:rsidP="00C35919">
      <w:pPr>
        <w:rPr>
          <w:rFonts w:asciiTheme="minorHAnsi" w:hAnsiTheme="minorHAnsi" w:cstheme="minorBidi"/>
          <w:sz w:val="22"/>
        </w:rPr>
      </w:pPr>
    </w:p>
    <w:p w:rsidR="00C35919" w:rsidRDefault="00C35919" w:rsidP="00C35919">
      <w:pPr>
        <w:pStyle w:val="Ruller4"/>
        <w:numPr>
          <w:ilvl w:val="0"/>
          <w:numId w:val="0"/>
        </w:numPr>
        <w:spacing w:line="240" w:lineRule="auto"/>
        <w:ind w:left="1134" w:right="1134"/>
        <w:rPr>
          <w:rFonts w:ascii="Narkisim" w:hAnsi="Narkisim" w:cs="Narkisim"/>
          <w:sz w:val="28"/>
          <w:rtl/>
        </w:rPr>
      </w:pPr>
      <w:r>
        <w:rPr>
          <w:rFonts w:ascii="Narkisim" w:hAnsi="Narkisim" w:cs="Narkisim"/>
          <w:sz w:val="28"/>
          <w:rtl/>
        </w:rPr>
        <w:t xml:space="preserve">"תכליתה של הלכת השיתוף הספציפי צנועה בהרבה מזו של חזקת השיתוף: היא לא נועדה לשמש "כלל-על" של דיני המשפחה אשר חולש על נכסי בני הזוג. היא כלי משפטי המאפשר הכרה בקיומו של שיתוף בנכס ספציפי, וזאת מכוח הדין הכללי. השיתוף שנוצר מכוחה מבטא סוגי שיתוף שמוכרים בדין הכללי, על ענפיו השונים, "תוך התייחסות למערכת היחסים המיוחדת של השותפות הנובעת מחיי הנישואין, כשם שבמישורי משפט אחרים מגמשת את עצמה הפרשנות המשפטית לסיטואציות המיוחדות שבהן מיושם הדין הרלוואנטי". </w:t>
      </w:r>
    </w:p>
    <w:p w:rsidR="00C35919" w:rsidRDefault="00C35919" w:rsidP="00C35919">
      <w:pPr>
        <w:pStyle w:val="Ruller4"/>
        <w:numPr>
          <w:ilvl w:val="0"/>
          <w:numId w:val="0"/>
        </w:numPr>
        <w:rPr>
          <w:rFonts w:ascii="Narkisim" w:hAnsi="Narkisim" w:cs="Narkisim"/>
          <w:sz w:val="28"/>
        </w:rPr>
      </w:pPr>
    </w:p>
    <w:p w:rsidR="00C35919" w:rsidRDefault="00C35919" w:rsidP="00C35919">
      <w:pPr>
        <w:pStyle w:val="Ruller4"/>
        <w:numPr>
          <w:ilvl w:val="0"/>
          <w:numId w:val="0"/>
        </w:numPr>
        <w:ind w:left="142"/>
        <w:rPr>
          <w:rFonts w:ascii="Narkisim" w:hAnsi="Narkisim" w:cs="Narkisim"/>
          <w:sz w:val="28"/>
          <w:rtl/>
        </w:rPr>
      </w:pPr>
      <w:r>
        <w:rPr>
          <w:rFonts w:ascii="Narkisim" w:hAnsi="Narkisim" w:cs="Narkisim"/>
          <w:sz w:val="28"/>
          <w:rtl/>
        </w:rPr>
        <w:t xml:space="preserve">בצד הדברים, הובהר בפסיקה כי יש צורך בהוכחת "דבר מה נוסף" לצורך החלתו של שיתוף בנכס חיצוני. היינו, יש להוכיח קיומן של נסיבות מסוימות שהן מעבר לעצם קיומם של חיי נישואין גם אם הם ארוכים ומתנהלים על מי מנוחות. </w:t>
      </w:r>
    </w:p>
    <w:p w:rsidR="00C35919" w:rsidRDefault="00C35919" w:rsidP="00C35919">
      <w:pPr>
        <w:pStyle w:val="Ruller4"/>
        <w:numPr>
          <w:ilvl w:val="0"/>
          <w:numId w:val="0"/>
        </w:numPr>
        <w:ind w:left="142"/>
        <w:rPr>
          <w:rFonts w:ascii="Narkisim" w:hAnsi="Narkisim" w:cs="Narkisim"/>
          <w:sz w:val="28"/>
          <w:rtl/>
        </w:rPr>
      </w:pPr>
    </w:p>
    <w:p w:rsidR="00C35919" w:rsidRDefault="00C35919" w:rsidP="00C35919">
      <w:pPr>
        <w:pStyle w:val="Ruller4"/>
        <w:numPr>
          <w:ilvl w:val="0"/>
          <w:numId w:val="0"/>
        </w:numPr>
        <w:rPr>
          <w:rFonts w:ascii="Narkisim" w:hAnsi="Narkisim" w:cs="Narkisim"/>
          <w:spacing w:val="0"/>
          <w:sz w:val="28"/>
          <w:rtl/>
        </w:rPr>
      </w:pPr>
      <w:r>
        <w:rPr>
          <w:rFonts w:ascii="Narkisim" w:hAnsi="Narkisim" w:cs="Narkisim"/>
          <w:sz w:val="28"/>
          <w:rtl/>
        </w:rPr>
        <w:t>באשר להגדרתו, מהותו והיקפו של אותו "</w:t>
      </w:r>
      <w:r>
        <w:rPr>
          <w:rFonts w:ascii="Miriam" w:hAnsi="Miriam" w:cs="Miriam"/>
          <w:szCs w:val="24"/>
          <w:rtl/>
        </w:rPr>
        <w:t>דבר מה נוסף</w:t>
      </w:r>
      <w:r>
        <w:rPr>
          <w:rFonts w:ascii="Narkisim" w:hAnsi="Narkisim" w:cs="Narkisim"/>
          <w:sz w:val="28"/>
          <w:rtl/>
        </w:rPr>
        <w:t xml:space="preserve">" הובהר בפסיקה, כי עסקינן במבחן עובדתי התלוי בנסיבות כל מקרה ומקרה (בע"מ 4545/09 </w:t>
      </w:r>
      <w:r>
        <w:rPr>
          <w:rFonts w:ascii="Miriam" w:hAnsi="Miriam" w:cs="Miriam"/>
          <w:spacing w:val="0"/>
          <w:szCs w:val="24"/>
          <w:rtl/>
        </w:rPr>
        <w:t>פלוני נ' פלונית</w:t>
      </w:r>
      <w:r>
        <w:rPr>
          <w:rFonts w:ascii="Narkisim" w:hAnsi="Narkisim" w:cs="Narkisim"/>
          <w:sz w:val="28"/>
          <w:rtl/>
        </w:rPr>
        <w:t xml:space="preserve">, </w:t>
      </w:r>
      <w:r>
        <w:rPr>
          <w:rFonts w:ascii="Narkisim" w:hAnsi="Narkisim" w:cs="Narkisim"/>
          <w:spacing w:val="0"/>
          <w:sz w:val="28"/>
          <w:rtl/>
        </w:rPr>
        <w:t xml:space="preserve"> </w:t>
      </w:r>
      <w:r>
        <w:rPr>
          <w:rFonts w:ascii="Narkisim" w:hAnsi="Narkisim" w:cs="Narkisim"/>
          <w:sz w:val="28"/>
          <w:rtl/>
        </w:rPr>
        <w:t xml:space="preserve">פסקה 6 (2010); בג"ץ  287/16 </w:t>
      </w:r>
      <w:r>
        <w:rPr>
          <w:rFonts w:ascii="Miriam" w:hAnsi="Miriam" w:cs="Miriam"/>
          <w:spacing w:val="0"/>
          <w:szCs w:val="24"/>
          <w:rtl/>
        </w:rPr>
        <w:t>פלוני נ' בית הדין הרבני הגדול בירושלים</w:t>
      </w:r>
      <w:r>
        <w:rPr>
          <w:rFonts w:ascii="Narkisim" w:hAnsi="Narkisim" w:cs="Narkisim"/>
          <w:sz w:val="28"/>
          <w:rtl/>
        </w:rPr>
        <w:t xml:space="preserve">, </w:t>
      </w:r>
      <w:r>
        <w:rPr>
          <w:rFonts w:ascii="Narkisim" w:hAnsi="Narkisim" w:cs="Narkisim"/>
          <w:spacing w:val="0"/>
          <w:sz w:val="28"/>
          <w:rtl/>
        </w:rPr>
        <w:t xml:space="preserve"> </w:t>
      </w:r>
      <w:r>
        <w:rPr>
          <w:rFonts w:ascii="Narkisim" w:hAnsi="Narkisim" w:cs="Narkisim"/>
          <w:sz w:val="28"/>
          <w:rtl/>
        </w:rPr>
        <w:t>פסקה 14 (‏2016); ע"א 7750/10</w:t>
      </w:r>
      <w:r>
        <w:rPr>
          <w:rFonts w:ascii="Miriam" w:hAnsi="Miriam" w:cs="Miriam"/>
          <w:spacing w:val="0"/>
          <w:szCs w:val="24"/>
          <w:rtl/>
        </w:rPr>
        <w:t xml:space="preserve"> בן גיאת נ' הכשרת היישוב ביטוח בע"מ</w:t>
      </w:r>
      <w:r>
        <w:rPr>
          <w:rFonts w:ascii="Narkisim" w:hAnsi="Narkisim" w:cs="Narkisim"/>
          <w:sz w:val="28"/>
          <w:rtl/>
        </w:rPr>
        <w:t xml:space="preserve">, פסקה 13 לחוות דעתו של השופט </w:t>
      </w:r>
      <w:r>
        <w:rPr>
          <w:rFonts w:ascii="Narkisim" w:hAnsi="Narkisim" w:cs="Narkisim"/>
          <w:spacing w:val="0"/>
          <w:sz w:val="28"/>
          <w:rtl/>
        </w:rPr>
        <w:t>עמית</w:t>
      </w:r>
      <w:r>
        <w:rPr>
          <w:rFonts w:ascii="Narkisim" w:hAnsi="Narkisim" w:cs="Narkisim"/>
          <w:sz w:val="28"/>
          <w:rtl/>
        </w:rPr>
        <w:t xml:space="preserve"> (2011)). כאשר </w:t>
      </w:r>
      <w:r>
        <w:rPr>
          <w:rFonts w:ascii="Narkisim" w:hAnsi="Narkisim" w:cs="Narkisim"/>
          <w:spacing w:val="0"/>
          <w:sz w:val="28"/>
          <w:rtl/>
        </w:rPr>
        <w:t xml:space="preserve">בעקרון הקריטריונים והמבחנים נחלקים לשתי קבוצות עיקריות, האחת מתייחסת לנכס עצמו (טיבו של הנכס- היותו משמש למגורים או עיסקי, עלותו ומידת ההשקעה המשותפת בו), והאחרת, מתייחסת לבני הזוג עצמם (האם מדובר בנישואים ראשונים, אורך הנשואים, טיב מערכת </w:t>
      </w:r>
      <w:r>
        <w:rPr>
          <w:rFonts w:ascii="Narkisim" w:hAnsi="Narkisim" w:cs="Narkisim"/>
          <w:spacing w:val="0"/>
          <w:sz w:val="28"/>
          <w:rtl/>
        </w:rPr>
        <w:lastRenderedPageBreak/>
        <w:t xml:space="preserve">היחסים, קיומם של ילדים וכיוצ"ב וראו, כדוגמה, חוות דעתו של כב' הש' עמית בעניין בע"מ 1398/11 </w:t>
      </w:r>
      <w:r>
        <w:rPr>
          <w:rFonts w:ascii="Miriam" w:hAnsi="Miriam" w:cs="Miriam"/>
          <w:spacing w:val="0"/>
          <w:szCs w:val="24"/>
          <w:rtl/>
        </w:rPr>
        <w:t xml:space="preserve">אלמונית נ' אלמוני </w:t>
      </w:r>
      <w:r>
        <w:rPr>
          <w:rFonts w:ascii="Narkisim" w:hAnsi="Narkisim" w:cs="Narkisim"/>
          <w:spacing w:val="0"/>
          <w:sz w:val="28"/>
          <w:rtl/>
        </w:rPr>
        <w:t xml:space="preserve">(2012) (להלן – </w:t>
      </w:r>
      <w:r>
        <w:rPr>
          <w:rFonts w:ascii="Miriam" w:hAnsi="Miriam" w:cs="Miriam"/>
          <w:spacing w:val="0"/>
          <w:szCs w:val="24"/>
          <w:rtl/>
        </w:rPr>
        <w:t>עניין אלמונית</w:t>
      </w:r>
      <w:r>
        <w:rPr>
          <w:rFonts w:ascii="Narkisim" w:hAnsi="Narkisim" w:cs="Narkisim"/>
          <w:spacing w:val="0"/>
          <w:sz w:val="28"/>
          <w:rtl/>
        </w:rPr>
        <w:t>)) .</w:t>
      </w:r>
    </w:p>
    <w:p w:rsidR="00C35919" w:rsidRDefault="00C35919" w:rsidP="00C35919">
      <w:pPr>
        <w:pStyle w:val="a4"/>
        <w:rPr>
          <w:rFonts w:ascii="Narkisim" w:hAnsi="Narkisim" w:cs="Narkisim"/>
          <w:sz w:val="28"/>
          <w:szCs w:val="28"/>
          <w:rtl/>
        </w:rPr>
      </w:pPr>
    </w:p>
    <w:p w:rsidR="00C35919" w:rsidRDefault="00C35919" w:rsidP="00C35919">
      <w:pPr>
        <w:pStyle w:val="a4"/>
        <w:spacing w:line="360" w:lineRule="auto"/>
        <w:ind w:left="0"/>
        <w:jc w:val="both"/>
        <w:rPr>
          <w:rFonts w:ascii="Narkisim" w:eastAsia="Times New Roman" w:hAnsi="Narkisim" w:cs="Narkisim"/>
          <w:sz w:val="28"/>
          <w:szCs w:val="28"/>
          <w:rtl/>
        </w:rPr>
      </w:pPr>
      <w:r>
        <w:rPr>
          <w:rFonts w:ascii="Narkisim" w:hAnsi="Narkisim" w:cs="Narkisim"/>
          <w:sz w:val="28"/>
          <w:szCs w:val="28"/>
          <w:rtl/>
        </w:rPr>
        <w:t>27.</w:t>
      </w:r>
      <w:r>
        <w:rPr>
          <w:rFonts w:ascii="Narkisim" w:hAnsi="Narkisim" w:cs="Narkisim"/>
          <w:sz w:val="28"/>
          <w:szCs w:val="28"/>
          <w:rtl/>
        </w:rPr>
        <w:tab/>
      </w:r>
      <w:r>
        <w:rPr>
          <w:rFonts w:ascii="Narkisim" w:hAnsi="Narkisim" w:cs="Narkisim"/>
          <w:sz w:val="28"/>
          <w:szCs w:val="28"/>
          <w:rtl/>
        </w:rPr>
        <w:tab/>
        <w:t xml:space="preserve">כידוע, ביחס לנסיבות הקשורות בנכס ניתנה חשיבות רבה בפסיקה להיות הנכס הספציפי דירת המגורים של בני הזוג, מתוך תפישה לפיה דירת המגורים אינו נכס ככל הנכסים והוא מהווה גולת הכותרת של תא המשפחתי, הנכס סביבו מתרקמת הוויה המשפחתית (ע"א 806/93 </w:t>
      </w:r>
      <w:r>
        <w:rPr>
          <w:rFonts w:ascii="Miriam" w:hAnsi="Miriam" w:cs="Miriam"/>
          <w:rtl/>
        </w:rPr>
        <w:t>הדרי נ' הדרי,</w:t>
      </w:r>
      <w:r>
        <w:rPr>
          <w:rFonts w:ascii="Narkisim" w:hAnsi="Narkisim" w:cs="Narkisim"/>
          <w:sz w:val="28"/>
          <w:szCs w:val="28"/>
          <w:rtl/>
        </w:rPr>
        <w:t xml:space="preserve"> (1994);  רע"א 8791/00 </w:t>
      </w:r>
      <w:r>
        <w:rPr>
          <w:rFonts w:ascii="Miriam" w:hAnsi="Miriam" w:cs="Miriam"/>
          <w:rtl/>
        </w:rPr>
        <w:t>שלם נ' טווינקו בע"מ,</w:t>
      </w:r>
      <w:r>
        <w:rPr>
          <w:rFonts w:ascii="Narkisim" w:hAnsi="Narkisim" w:cs="Narkisim"/>
          <w:sz w:val="28"/>
          <w:szCs w:val="28"/>
          <w:rtl/>
        </w:rPr>
        <w:t xml:space="preserve"> (2006); בע"מ 5939/04 - </w:t>
      </w:r>
      <w:r>
        <w:rPr>
          <w:rFonts w:ascii="Miriam" w:hAnsi="Miriam" w:cs="Miriam"/>
          <w:rtl/>
        </w:rPr>
        <w:t>פלוני נ' פלונית</w:t>
      </w:r>
      <w:r>
        <w:rPr>
          <w:rFonts w:ascii="Narkisim" w:hAnsi="Narkisim" w:cs="Narkisim"/>
          <w:sz w:val="28"/>
          <w:szCs w:val="28"/>
          <w:rtl/>
        </w:rPr>
        <w:t xml:space="preserve">, (2004)). נוכח מעמדה הייחודי של דירת מגורי בני הזוג נקבע כי יש להקל במשקל הראיות החיצוניות לצורך הוכחת כוונת השיתוף וזאת לעומת נכסים אחרים שהובאו לנישואין על ידי אחד מבני הזוג (ראו פסקה 37 לפסק דינה של הנשיאה חיות </w:t>
      </w:r>
      <w:r>
        <w:rPr>
          <w:rFonts w:ascii="Miriam" w:hAnsi="Miriam" w:cs="Miriam"/>
          <w:rtl/>
        </w:rPr>
        <w:t>בדנג"ץ הבגידה</w:t>
      </w:r>
      <w:r>
        <w:rPr>
          <w:rFonts w:ascii="Narkisim" w:hAnsi="Narkisim" w:cs="Narkisim"/>
          <w:sz w:val="28"/>
          <w:szCs w:val="28"/>
          <w:rtl/>
        </w:rPr>
        <w:t xml:space="preserve"> וכן פסק דינו של השופט עמית </w:t>
      </w:r>
      <w:r>
        <w:rPr>
          <w:rFonts w:ascii="Miriam" w:hAnsi="Miriam" w:cs="Miriam"/>
          <w:rtl/>
        </w:rPr>
        <w:t>בעניין אלמונית</w:t>
      </w:r>
      <w:r>
        <w:rPr>
          <w:rFonts w:ascii="Narkisim" w:hAnsi="Narkisim" w:cs="Narkisim"/>
          <w:sz w:val="28"/>
          <w:szCs w:val="28"/>
          <w:rtl/>
        </w:rPr>
        <w:t>).</w:t>
      </w:r>
    </w:p>
    <w:p w:rsidR="00C35919" w:rsidRDefault="00C35919" w:rsidP="00C35919">
      <w:pPr>
        <w:spacing w:line="360" w:lineRule="auto"/>
        <w:jc w:val="both"/>
        <w:rPr>
          <w:rFonts w:ascii="Narkisim" w:eastAsiaTheme="minorHAnsi" w:hAnsi="Narkisim" w:cs="Narkisim"/>
          <w:sz w:val="28"/>
          <w:szCs w:val="28"/>
          <w:rtl/>
        </w:rPr>
      </w:pPr>
      <w:r>
        <w:rPr>
          <w:rFonts w:ascii="Narkisim" w:eastAsia="Calibri" w:hAnsi="Narkisim" w:cs="Narkisim"/>
          <w:sz w:val="28"/>
          <w:szCs w:val="28"/>
          <w:rtl/>
        </w:rPr>
        <w:t>28.</w:t>
      </w:r>
      <w:r>
        <w:rPr>
          <w:rFonts w:ascii="Narkisim" w:eastAsia="Calibri" w:hAnsi="Narkisim" w:cs="Narkisim"/>
          <w:sz w:val="28"/>
          <w:szCs w:val="28"/>
          <w:rtl/>
        </w:rPr>
        <w:tab/>
      </w:r>
      <w:r>
        <w:rPr>
          <w:rFonts w:ascii="Narkisim" w:hAnsi="Narkisim" w:cs="Narkisim"/>
          <w:sz w:val="28"/>
          <w:szCs w:val="28"/>
          <w:rtl/>
        </w:rPr>
        <w:t xml:space="preserve">בפסיקה מוצעים מבחנים רבים, שאינם מהווים רשימה סגורה, לבחינת קיומה של כוונת שיתוף ספציפית. כב' הש' עמית </w:t>
      </w:r>
      <w:r>
        <w:rPr>
          <w:rFonts w:ascii="Miriam" w:hAnsi="Miriam" w:cs="Miriam"/>
          <w:rtl/>
        </w:rPr>
        <w:t>בעניין אלמונית</w:t>
      </w:r>
      <w:r>
        <w:rPr>
          <w:rFonts w:ascii="Narkisim" w:hAnsi="Narkisim" w:cs="Narkisim"/>
          <w:sz w:val="28"/>
          <w:szCs w:val="28"/>
          <w:rtl/>
        </w:rPr>
        <w:t xml:space="preserve"> מונה מבחנים רבים ובכללם – סוג הנכס, היינו - האם מדובר בדירת מגורי בני הזוג או נכס אחר, האם הדירה הובאה על ידי אחד מבני הזוג לנישואין או נרכשה על ידי אחד מבני הזוג לאחר הנישואין. האם לבן הזוג השני יש דירת מגורים או נכס חיצוני אחר שהביא עמו לנישואיו ואשר נותר רשום על שמו. אורך התקופה בה הדירה הייתה רשומה על שם אחד מבני הזוג ומספר השנים בהם התגוררו בני הזוג בדירה (ככל שהתקופה קצרה יותר נדרשת מידה רבה יותר של הוכחה לשיתוף בדירה), אורך חיי הנישואין עד לקרע או עד לגירושין (ככל שתקופת הנישואין קצרה יותר נדרשת מידה רבה יותר של הוכחה לשיתוף בדירה), האם ניטלה הלוואה בגינה נרשם משכון/משכנתא על הדירה, ואשר שולמה לאורך השנים על ידי בני הזוג במשותף, האם בוצע שיפוץ מסיבי או תוספת בניה מהותית שמומנה על ידי שני בני הזוג, התנהגות הצדדים - אווירה כללית של שיתוף ושל מאמץ משותף ונסיבות ספציפיות נוספות כגון יצירת מצג בפני בן הזוג השני. </w:t>
      </w:r>
    </w:p>
    <w:p w:rsidR="00C35919" w:rsidRDefault="00C35919" w:rsidP="00C35919">
      <w:pPr>
        <w:spacing w:line="360" w:lineRule="auto"/>
        <w:jc w:val="both"/>
        <w:rPr>
          <w:rFonts w:ascii="Narkisim" w:eastAsiaTheme="minorHAnsi" w:hAnsi="Narkisim" w:cs="Narkisim"/>
          <w:sz w:val="28"/>
          <w:szCs w:val="28"/>
        </w:rPr>
      </w:pPr>
    </w:p>
    <w:p w:rsidR="00C35919" w:rsidRDefault="00C35919" w:rsidP="00C35919">
      <w:pPr>
        <w:spacing w:line="360" w:lineRule="auto"/>
        <w:jc w:val="both"/>
        <w:rPr>
          <w:rFonts w:ascii="Narkisim" w:eastAsia="Calibri" w:hAnsi="Narkisim" w:cs="Narkisim"/>
          <w:sz w:val="28"/>
          <w:szCs w:val="28"/>
          <w:rtl/>
        </w:rPr>
      </w:pPr>
      <w:r>
        <w:rPr>
          <w:rFonts w:ascii="Narkisim" w:eastAsia="Calibri" w:hAnsi="Narkisim" w:cs="Narkisim"/>
          <w:sz w:val="28"/>
          <w:szCs w:val="28"/>
          <w:rtl/>
        </w:rPr>
        <w:t>29.</w:t>
      </w:r>
      <w:r>
        <w:rPr>
          <w:rFonts w:ascii="Narkisim" w:eastAsia="Calibri" w:hAnsi="Narkisim" w:cs="Narkisim"/>
          <w:sz w:val="28"/>
          <w:szCs w:val="28"/>
          <w:rtl/>
        </w:rPr>
        <w:tab/>
        <w:t xml:space="preserve">בענייננו נקבעו קביעות עובדתיות רלבנטיות על ידי בית משפט קמא, שאין בדעתנו להתערב בהן. ככלות הכול - הלכה היא כי אין ערכאת הערעור נוטה להתערב בקביעות עובדות ומהימנות אלא במקרים חריגים ומובחנים שהנדון אינו נמנה עליהם </w:t>
      </w:r>
      <w:r>
        <w:rPr>
          <w:rFonts w:ascii="Narkisim" w:eastAsia="Calibri" w:hAnsi="Narkisim" w:cs="Narkisim"/>
          <w:sz w:val="28"/>
          <w:szCs w:val="28"/>
          <w:rtl/>
        </w:rPr>
        <w:lastRenderedPageBreak/>
        <w:t xml:space="preserve">(ע"א 78/84 </w:t>
      </w:r>
      <w:r>
        <w:rPr>
          <w:rFonts w:ascii="Miriam" w:eastAsia="Calibri" w:hAnsi="Miriam" w:cs="Miriam"/>
          <w:rtl/>
        </w:rPr>
        <w:t>עיזבון המנוח חג' קאסם אחמד סווילם נ' אלג'ילאני</w:t>
      </w:r>
      <w:r>
        <w:rPr>
          <w:rFonts w:ascii="Narkisim" w:eastAsia="Calibri" w:hAnsi="Narkisim" w:cs="Narkisim"/>
          <w:sz w:val="28"/>
          <w:szCs w:val="28"/>
          <w:rtl/>
        </w:rPr>
        <w:t xml:space="preserve"> (1988); בע"א 3601/96 </w:t>
      </w:r>
      <w:r>
        <w:rPr>
          <w:rFonts w:ascii="Miriam" w:eastAsia="Calibri" w:hAnsi="Miriam" w:cs="Miriam"/>
          <w:rtl/>
        </w:rPr>
        <w:t>בראשי נ' עיזבון המנוח בראשי ז"ל</w:t>
      </w:r>
      <w:r>
        <w:rPr>
          <w:rFonts w:ascii="Narkisim" w:eastAsia="Calibri" w:hAnsi="Narkisim" w:cs="Narkisim"/>
          <w:sz w:val="28"/>
          <w:szCs w:val="28"/>
          <w:rtl/>
        </w:rPr>
        <w:t xml:space="preserve">, (1998)). בייחוד תימנע ערכאת הערעור מהתערבות כזו כאשר בית-משפט קמא "לא פטר עצמו בדברים כלליים בניתוח העובדות אלא צלל למעמקי הראיות, בחן ובדק את הדברים ביסודיות, עשה ככל האפשר לבור את האמת המזדקרת ממכלול הדברים ולתת ביטוי לחקירתו – דרישתו ובדיקתו מעל דפי פסק הדין..." (ע"א 640/85 </w:t>
      </w:r>
      <w:r>
        <w:rPr>
          <w:rFonts w:ascii="Miriam" w:eastAsia="Calibri" w:hAnsi="Miriam" w:cs="Miriam"/>
          <w:rtl/>
        </w:rPr>
        <w:t>קופר ואח' נ' איגוד המוסכים בישראל ואח'</w:t>
      </w:r>
      <w:r>
        <w:rPr>
          <w:rFonts w:ascii="Narkisim" w:eastAsia="Calibri" w:hAnsi="Narkisim" w:cs="Narkisim"/>
          <w:sz w:val="28"/>
          <w:szCs w:val="28"/>
          <w:rtl/>
        </w:rPr>
        <w:t xml:space="preserve">, (1990)). </w:t>
      </w:r>
    </w:p>
    <w:p w:rsidR="00C35919" w:rsidRDefault="00C35919" w:rsidP="00C35919">
      <w:pPr>
        <w:spacing w:line="360" w:lineRule="auto"/>
        <w:jc w:val="both"/>
        <w:rPr>
          <w:rFonts w:ascii="Narkisim" w:eastAsia="Calibri" w:hAnsi="Narkisim" w:cs="Narkisim"/>
          <w:sz w:val="28"/>
          <w:szCs w:val="28"/>
          <w:rtl/>
        </w:rPr>
      </w:pPr>
    </w:p>
    <w:p w:rsidR="00C35919" w:rsidRDefault="00C35919" w:rsidP="00C35919">
      <w:pPr>
        <w:spacing w:line="360" w:lineRule="auto"/>
        <w:jc w:val="both"/>
        <w:rPr>
          <w:rFonts w:ascii="Narkisim" w:hAnsi="Narkisim" w:cs="Narkisim"/>
          <w:sz w:val="28"/>
          <w:szCs w:val="28"/>
          <w:rtl/>
        </w:rPr>
      </w:pPr>
      <w:r>
        <w:rPr>
          <w:rFonts w:ascii="Narkisim" w:eastAsia="Calibri" w:hAnsi="Narkisim" w:cs="Narkisim"/>
          <w:sz w:val="28"/>
          <w:szCs w:val="28"/>
          <w:rtl/>
        </w:rPr>
        <w:t xml:space="preserve"> 30.</w:t>
      </w:r>
      <w:r>
        <w:rPr>
          <w:rFonts w:ascii="Narkisim" w:eastAsia="Calibri" w:hAnsi="Narkisim" w:cs="Narkisim"/>
          <w:sz w:val="28"/>
          <w:szCs w:val="28"/>
          <w:rtl/>
        </w:rPr>
        <w:tab/>
        <w:t xml:space="preserve">על פי אותן קביעות שקבע בית משפט קמא, </w:t>
      </w:r>
      <w:r>
        <w:rPr>
          <w:rFonts w:ascii="Narkisim" w:hAnsi="Narkisim" w:cs="Narkisim"/>
          <w:sz w:val="28"/>
          <w:szCs w:val="28"/>
          <w:rtl/>
        </w:rPr>
        <w:t xml:space="preserve">מדובר במערכת יחסים זוגית, ממושכת, בה כל אחד מבני הזוג תרם תרומה ממשית לחיי המשפחה. בכל הקשור לבית המגורים הרי שהוא שימש את בני הזוג וילדיהם כבר משנת 2005, ממועד רכישתו על ידי האם המנוחה. גם אחר פטירת האם הבית המשיך ושימש למגורי הצדדים, ובית המשפט האמין לעדות המשיבה לפיה היה ברור לצדדים כי זהו ביתם המשותף. בית המשפט הגדיר בית זה כבית מגורים יחיד של הצדדים, על אף שהייתה בבעלותם דירה נוספת הרשומה על שם שניהם, כיוון שהדירה האחרת שימשה כמשרד לעסקו של המערער, ממילא כלל לא שימשה למגורי הצדדים ומשפחתם. אם לא די בכך, הצדדים אף שיפצו את בית המגורים מספר פעמים לרבות שיפוץ מהותי שנעשה בשנת 2011 ובו הוסיפו קומה לצורך חדר שישמש את אחד מילדיהם,  רוצה לומר בית המגורים הורחב לצורך שימוש המשפחה ומתוך התחשבות בהתרחבותה- רוצה לומר עסקינן בנכס "שגדל עם המשפחה"  והיה חלק בלתי נפרד מאורחותיה.  אומנם הדברים נעשו בעוד הנכס רשום על שם האם המנוחה, ואולם ברי כי נוכח ההשקעה הכספית של הצדדים בנכס הרי שמעת שהוא עבר בירושה לידי המערער, יש לנסיבות הנזכרות חשיבות רבה לצורך קביעת כוונת השיתוף הפנים משפחתית ביחס אליו. מכאן אף מסקנתו העובדתית של בית משפט קמא לפיה -  " מצאתי כי הציג בפניה לאורך השנים, לרבות </w:t>
      </w:r>
      <w:r>
        <w:rPr>
          <w:rFonts w:ascii="Narkisim" w:hAnsi="Narkisim" w:cs="Narkisim"/>
          <w:b/>
          <w:bCs/>
          <w:sz w:val="28"/>
          <w:szCs w:val="28"/>
          <w:rtl/>
        </w:rPr>
        <w:t>לאחר פטירת אמו המנוחה</w:t>
      </w:r>
      <w:r>
        <w:rPr>
          <w:rFonts w:ascii="Narkisim" w:hAnsi="Narkisim" w:cs="Narkisim"/>
          <w:sz w:val="28"/>
          <w:szCs w:val="28"/>
          <w:rtl/>
        </w:rPr>
        <w:t xml:space="preserve">, כי מדובר בנכס משותף" (סיפת סע' 43 לפסק הדין, ההדגשה שלנו). זה המקום עוד להזכיר כי לאחר מות האם המנוחה, ולאחר רישומו של בית המגורים על שם המערער, דרו הצדדים בבית המגורים שנים רבות, וניהלו בו משק בית משותף, וכחוט השני נשזרת גם מסקנתו המשפטית -  </w:t>
      </w:r>
    </w:p>
    <w:p w:rsidR="00C35919" w:rsidRDefault="00C35919" w:rsidP="00C35919">
      <w:pPr>
        <w:spacing w:line="360" w:lineRule="auto"/>
        <w:jc w:val="both"/>
        <w:rPr>
          <w:rFonts w:ascii="Narkisim" w:eastAsiaTheme="minorHAnsi" w:hAnsi="Narkisim" w:cs="Narkisim"/>
          <w:sz w:val="28"/>
          <w:szCs w:val="28"/>
          <w:rtl/>
        </w:rPr>
      </w:pPr>
    </w:p>
    <w:p w:rsidR="00C35919" w:rsidRDefault="00C35919" w:rsidP="00C35919">
      <w:pPr>
        <w:pStyle w:val="a4"/>
        <w:shd w:val="clear" w:color="auto" w:fill="FFFFFF"/>
        <w:spacing w:after="0" w:line="240" w:lineRule="auto"/>
        <w:ind w:left="1076" w:right="993"/>
        <w:jc w:val="both"/>
        <w:rPr>
          <w:rFonts w:ascii="Narkisim" w:hAnsi="Narkisim" w:cs="Narkisim"/>
          <w:sz w:val="28"/>
          <w:szCs w:val="28"/>
        </w:rPr>
      </w:pPr>
      <w:r>
        <w:rPr>
          <w:rFonts w:ascii="Narkisim" w:hAnsi="Narkisim" w:cs="Narkisim"/>
          <w:sz w:val="28"/>
          <w:szCs w:val="28"/>
          <w:rtl/>
        </w:rPr>
        <w:t xml:space="preserve">"  לסיכום, מצאתי כי האישה הוכיחה קיומו של "דבר מה נוסף" שיעיד על כוונת שיתוף בבית המגורים ברמלה. לפיכך מדובר </w:t>
      </w:r>
      <w:r>
        <w:rPr>
          <w:rFonts w:ascii="Narkisim" w:hAnsi="Narkisim" w:cs="Narkisim"/>
          <w:sz w:val="28"/>
          <w:szCs w:val="28"/>
          <w:rtl/>
        </w:rPr>
        <w:lastRenderedPageBreak/>
        <w:t>בנכס משותף, וזאת אף על פי שהאיש ירש את הזכויות בו מאמו המנוחה בתקופת הנישואין והנכס רשום על שמו"</w:t>
      </w:r>
    </w:p>
    <w:p w:rsidR="00C35919" w:rsidRDefault="00C35919" w:rsidP="00C35919">
      <w:pPr>
        <w:pStyle w:val="a4"/>
        <w:shd w:val="clear" w:color="auto" w:fill="FFFFFF"/>
        <w:spacing w:after="0" w:line="360" w:lineRule="auto"/>
        <w:jc w:val="both"/>
        <w:rPr>
          <w:rFonts w:ascii="Narkisim" w:hAnsi="Narkisim" w:cs="Narkisim"/>
          <w:sz w:val="28"/>
          <w:szCs w:val="28"/>
          <w:rtl/>
        </w:rPr>
      </w:pPr>
    </w:p>
    <w:p w:rsidR="00C35919" w:rsidRDefault="00C35919" w:rsidP="00C35919">
      <w:pPr>
        <w:pStyle w:val="a4"/>
        <w:shd w:val="clear" w:color="auto" w:fill="FFFFFF"/>
        <w:spacing w:after="0" w:line="360" w:lineRule="auto"/>
        <w:ind w:left="84"/>
        <w:jc w:val="both"/>
        <w:rPr>
          <w:rFonts w:ascii="Narkisim" w:hAnsi="Narkisim" w:cs="Narkisim"/>
          <w:sz w:val="28"/>
          <w:szCs w:val="28"/>
          <w:rtl/>
        </w:rPr>
      </w:pPr>
      <w:r>
        <w:rPr>
          <w:rFonts w:ascii="Narkisim" w:hAnsi="Narkisim" w:cs="Narkisim"/>
          <w:sz w:val="28"/>
          <w:szCs w:val="28"/>
          <w:rtl/>
        </w:rPr>
        <w:t>אנו, כאמור, סומכים ידנו על מסקנתו זו של בית משפט קמא.</w:t>
      </w:r>
    </w:p>
    <w:p w:rsidR="00C35919" w:rsidRDefault="00C35919" w:rsidP="00C35919">
      <w:pPr>
        <w:pStyle w:val="a4"/>
        <w:shd w:val="clear" w:color="auto" w:fill="FFFFFF"/>
        <w:spacing w:after="0" w:line="360" w:lineRule="auto"/>
        <w:ind w:left="84"/>
        <w:jc w:val="both"/>
        <w:rPr>
          <w:rFonts w:ascii="David" w:eastAsia="Times New Roman" w:hAnsi="David" w:cs="David"/>
          <w:color w:val="000000"/>
          <w:sz w:val="24"/>
          <w:szCs w:val="24"/>
        </w:rPr>
      </w:pPr>
    </w:p>
    <w:p w:rsidR="00C35919" w:rsidRDefault="00C35919" w:rsidP="00C35919">
      <w:pPr>
        <w:pStyle w:val="a4"/>
        <w:spacing w:line="360" w:lineRule="auto"/>
        <w:ind w:left="84"/>
        <w:jc w:val="both"/>
        <w:rPr>
          <w:rFonts w:ascii="Miriam" w:hAnsi="Miriam" w:cs="Miriam"/>
          <w:sz w:val="24"/>
          <w:szCs w:val="24"/>
          <w:rtl/>
        </w:rPr>
      </w:pPr>
      <w:r>
        <w:rPr>
          <w:rFonts w:ascii="Miriam" w:hAnsi="Miriam" w:cs="Miriam"/>
          <w:sz w:val="24"/>
          <w:szCs w:val="24"/>
          <w:rtl/>
        </w:rPr>
        <w:t xml:space="preserve">איזון סך 250,000 ₪ בין הצדדים </w:t>
      </w:r>
    </w:p>
    <w:p w:rsidR="00C35919" w:rsidRDefault="00C35919" w:rsidP="00C35919">
      <w:pPr>
        <w:pStyle w:val="a4"/>
        <w:spacing w:line="360" w:lineRule="auto"/>
        <w:ind w:left="84"/>
        <w:jc w:val="both"/>
        <w:rPr>
          <w:rFonts w:ascii="Miriam" w:hAnsi="Miriam" w:cs="Miriam"/>
          <w:sz w:val="24"/>
          <w:szCs w:val="24"/>
          <w:rtl/>
        </w:rPr>
      </w:pPr>
    </w:p>
    <w:p w:rsidR="00C35919" w:rsidRDefault="00C35919" w:rsidP="00C35919">
      <w:pPr>
        <w:pStyle w:val="a4"/>
        <w:spacing w:line="360" w:lineRule="auto"/>
        <w:ind w:left="84"/>
        <w:jc w:val="both"/>
        <w:rPr>
          <w:rFonts w:ascii="Narkisim" w:hAnsi="Narkisim" w:cs="Narkisim"/>
          <w:sz w:val="28"/>
          <w:szCs w:val="28"/>
          <w:rtl/>
        </w:rPr>
      </w:pPr>
      <w:r>
        <w:rPr>
          <w:rFonts w:ascii="Narkisim" w:hAnsi="Narkisim" w:cs="Narkisim"/>
          <w:sz w:val="28"/>
          <w:szCs w:val="28"/>
          <w:rtl/>
        </w:rPr>
        <w:t>31.</w:t>
      </w:r>
      <w:r>
        <w:rPr>
          <w:rFonts w:ascii="Narkisim" w:hAnsi="Narkisim" w:cs="Narkisim"/>
          <w:sz w:val="28"/>
          <w:szCs w:val="28"/>
          <w:rtl/>
        </w:rPr>
        <w:tab/>
        <w:t xml:space="preserve"> כאמור, לטענת המערער שומה היה על בית המשפט להוציא מתוך איזון במשאבים בין הצדדים את הסך  של 250,000 ₪ המצויים בחשבונו הפרטי, שכן כעולה מצוואת אמו המנוחה, היא העבירה לו בירושה את הסך הנ"ל, ממילא מדובר בנכס חיצוני שלא שותף על ידו עם המשיבה.</w:t>
      </w:r>
    </w:p>
    <w:p w:rsidR="00C35919" w:rsidRDefault="00C35919" w:rsidP="00C35919">
      <w:pPr>
        <w:pStyle w:val="a4"/>
        <w:spacing w:line="360" w:lineRule="auto"/>
        <w:ind w:left="84"/>
        <w:jc w:val="both"/>
        <w:rPr>
          <w:rFonts w:ascii="Narkisim" w:hAnsi="Narkisim" w:cs="Narkisim"/>
          <w:sz w:val="28"/>
          <w:szCs w:val="28"/>
          <w:rtl/>
        </w:rPr>
      </w:pPr>
      <w:r>
        <w:rPr>
          <w:rFonts w:ascii="Narkisim" w:hAnsi="Narkisim" w:cs="Narkisim"/>
          <w:sz w:val="28"/>
          <w:szCs w:val="28"/>
          <w:rtl/>
        </w:rPr>
        <w:t xml:space="preserve">גם דינה של טענה זו להידחות.  </w:t>
      </w:r>
    </w:p>
    <w:p w:rsidR="00C35919" w:rsidRDefault="00C35919" w:rsidP="00C35919">
      <w:pPr>
        <w:pStyle w:val="a4"/>
        <w:spacing w:line="360" w:lineRule="auto"/>
        <w:ind w:left="84"/>
        <w:jc w:val="both"/>
        <w:rPr>
          <w:rFonts w:ascii="Narkisim" w:hAnsi="Narkisim" w:cs="Narkisim"/>
          <w:sz w:val="28"/>
          <w:szCs w:val="28"/>
          <w:rtl/>
        </w:rPr>
      </w:pPr>
    </w:p>
    <w:p w:rsidR="00C35919" w:rsidRDefault="00C35919" w:rsidP="00C35919">
      <w:pPr>
        <w:pStyle w:val="a4"/>
        <w:shd w:val="clear" w:color="auto" w:fill="FFFFFF"/>
        <w:spacing w:after="0" w:line="360" w:lineRule="auto"/>
        <w:ind w:left="84"/>
        <w:jc w:val="both"/>
        <w:rPr>
          <w:rFonts w:ascii="Narkisim" w:hAnsi="Narkisim" w:cs="Narkisim"/>
          <w:sz w:val="28"/>
          <w:szCs w:val="28"/>
          <w:rtl/>
        </w:rPr>
      </w:pPr>
      <w:r>
        <w:rPr>
          <w:rFonts w:ascii="Narkisim" w:hAnsi="Narkisim" w:cs="Narkisim"/>
          <w:sz w:val="28"/>
          <w:szCs w:val="28"/>
          <w:rtl/>
        </w:rPr>
        <w:t>העובדה שבצוואת אמו המנוחה של המערער נאמר כי היא מצווה לו, בין השאר, סכום של 250,000 ₪, אין בו להביא לכך שסכום בשיעור זה יוצא מכלל האיזון. ראשית, איננו יודעים האם העביר המערער סכום זה מעיזבון אמו לחשבונו – דבר הניתן להוכחה בנקל ללא צורך במינוי מומחה, על ידי הצגת דפי חשבון רלבנטיים של העברת הסכום.   שנית, אף אם</w:t>
      </w:r>
      <w:r>
        <w:rPr>
          <w:rFonts w:ascii="Narkisim" w:hAnsi="Narkisim" w:cs="Narkisim" w:hint="cs"/>
          <w:sz w:val="28"/>
          <w:szCs w:val="28"/>
          <w:rtl/>
        </w:rPr>
        <w:t xml:space="preserve"> </w:t>
      </w:r>
      <w:r>
        <w:rPr>
          <w:rFonts w:ascii="Narkisim" w:hAnsi="Narkisim" w:cs="Narkisim"/>
          <w:sz w:val="28"/>
          <w:szCs w:val="28"/>
          <w:rtl/>
        </w:rPr>
        <w:t xml:space="preserve">תוכח העברתו של סכום זה לחשבונו של המערער, איננו יודעים מה נעשה בו. שהרי אפשר, כדוגמה, כי לאחר העברתו נעשה בו שימוש לצרכי המשפחה וממילא יש לראותו </w:t>
      </w:r>
      <w:r>
        <w:rPr>
          <w:rFonts w:ascii="Narkisim" w:hAnsi="Narkisim" w:cs="Narkisim" w:hint="cs"/>
          <w:sz w:val="28"/>
          <w:szCs w:val="28"/>
          <w:rtl/>
        </w:rPr>
        <w:t xml:space="preserve">כממון </w:t>
      </w:r>
      <w:r>
        <w:rPr>
          <w:rFonts w:ascii="Narkisim" w:hAnsi="Narkisim" w:cs="Narkisim"/>
          <w:sz w:val="28"/>
          <w:szCs w:val="28"/>
          <w:rtl/>
        </w:rPr>
        <w:t xml:space="preserve">משותף. בנדון כאשר הוכח כי נעשו העברות כספים תדירות מהחשבון המשותף לחשבון הפרטי, משכך גובר הנטל המוטל על המערער להוכיח כי הוא  הפקיד בחשבונו באופן מובחן את הסכום הנטען על ידו באופן שאין לשתף בו את המשיבה.  גם עניין זה ניתן להוכיח בדרך של הצגת דפי חשבון ולמעשה אי הצגת הדברים על ידי המערער, בבית משפט קמא, משמשת לחובתו (ע"א 548/78 </w:t>
      </w:r>
      <w:r>
        <w:rPr>
          <w:rFonts w:ascii="Miriam" w:hAnsi="Miriam" w:cs="Miriam"/>
          <w:sz w:val="24"/>
          <w:szCs w:val="24"/>
          <w:rtl/>
        </w:rPr>
        <w:t>פלונית נ' פלוני</w:t>
      </w:r>
      <w:r>
        <w:rPr>
          <w:rFonts w:ascii="Narkisim" w:hAnsi="Narkisim" w:cs="Narkisim"/>
          <w:sz w:val="28"/>
          <w:szCs w:val="28"/>
          <w:rtl/>
        </w:rPr>
        <w:t>, (1980), בג"ץ 3793/21 </w:t>
      </w:r>
      <w:r>
        <w:rPr>
          <w:rFonts w:ascii="Miriam" w:hAnsi="Miriam" w:cs="Miriam"/>
          <w:sz w:val="24"/>
          <w:szCs w:val="24"/>
          <w:rtl/>
        </w:rPr>
        <w:t>פלוני נ' בית הדין הרבני האזורי בירושלים</w:t>
      </w:r>
      <w:r>
        <w:rPr>
          <w:rFonts w:ascii="Narkisim" w:hAnsi="Narkisim" w:cs="Narkisim"/>
          <w:sz w:val="28"/>
          <w:szCs w:val="28"/>
          <w:rtl/>
        </w:rPr>
        <w:t> (2021)).</w:t>
      </w:r>
    </w:p>
    <w:p w:rsidR="00C35919" w:rsidRDefault="00C35919" w:rsidP="00C35919">
      <w:pPr>
        <w:pStyle w:val="a4"/>
        <w:shd w:val="clear" w:color="auto" w:fill="FFFFFF"/>
        <w:spacing w:after="0" w:line="360" w:lineRule="auto"/>
        <w:ind w:left="84"/>
        <w:jc w:val="both"/>
        <w:rPr>
          <w:rFonts w:ascii="Narkisim" w:hAnsi="Narkisim" w:cs="Narkisim"/>
          <w:sz w:val="28"/>
          <w:szCs w:val="28"/>
          <w:rtl/>
        </w:rPr>
      </w:pPr>
    </w:p>
    <w:p w:rsidR="00C35919" w:rsidRDefault="00C35919" w:rsidP="00C35919">
      <w:pPr>
        <w:pStyle w:val="a4"/>
        <w:shd w:val="clear" w:color="auto" w:fill="FFFFFF"/>
        <w:spacing w:after="0" w:line="360" w:lineRule="auto"/>
        <w:ind w:left="84"/>
        <w:jc w:val="both"/>
        <w:rPr>
          <w:rFonts w:ascii="Narkisim" w:hAnsi="Narkisim" w:cs="Narkisim"/>
          <w:sz w:val="28"/>
          <w:szCs w:val="28"/>
          <w:rtl/>
        </w:rPr>
      </w:pPr>
      <w:r>
        <w:rPr>
          <w:rFonts w:ascii="Narkisim" w:hAnsi="Narkisim" w:cs="Narkisim"/>
          <w:sz w:val="28"/>
          <w:szCs w:val="28"/>
          <w:rtl/>
        </w:rPr>
        <w:t xml:space="preserve">כפי שקבע בית משפט קמא, בהעדר ראיות להעברת הסך הנזכר מעיזבון האם המנוחה והותרתו באופן ייחודי לשימוש המערער, יש לדחות את טענתו לאי איזונו של הסכום הנזכר.  </w:t>
      </w:r>
    </w:p>
    <w:p w:rsidR="00C35919" w:rsidRDefault="00C35919" w:rsidP="00C35919">
      <w:pPr>
        <w:pStyle w:val="a4"/>
        <w:shd w:val="clear" w:color="auto" w:fill="FFFFFF"/>
        <w:spacing w:after="0" w:line="360" w:lineRule="auto"/>
        <w:ind w:left="84"/>
        <w:jc w:val="both"/>
        <w:rPr>
          <w:rFonts w:ascii="Narkisim" w:hAnsi="Narkisim" w:cs="Narkisim"/>
          <w:sz w:val="28"/>
          <w:szCs w:val="28"/>
          <w:rtl/>
        </w:rPr>
      </w:pPr>
    </w:p>
    <w:p w:rsidR="00C35919" w:rsidRDefault="00C35919" w:rsidP="00C35919">
      <w:pPr>
        <w:pStyle w:val="a4"/>
        <w:shd w:val="clear" w:color="auto" w:fill="FFFFFF"/>
        <w:spacing w:after="0" w:line="360" w:lineRule="auto"/>
        <w:ind w:left="84"/>
        <w:jc w:val="both"/>
        <w:rPr>
          <w:rFonts w:ascii="Narkisim" w:hAnsi="Narkisim" w:cs="Narkisim"/>
          <w:sz w:val="28"/>
          <w:szCs w:val="28"/>
          <w:rtl/>
        </w:rPr>
      </w:pPr>
      <w:r>
        <w:rPr>
          <w:rFonts w:ascii="Narkisim" w:hAnsi="Narkisim" w:cs="Narkisim"/>
          <w:sz w:val="28"/>
          <w:szCs w:val="28"/>
          <w:rtl/>
        </w:rPr>
        <w:lastRenderedPageBreak/>
        <w:t>32.</w:t>
      </w:r>
      <w:r>
        <w:rPr>
          <w:rFonts w:ascii="Narkisim" w:hAnsi="Narkisim" w:cs="Narkisim"/>
          <w:sz w:val="28"/>
          <w:szCs w:val="28"/>
          <w:rtl/>
        </w:rPr>
        <w:tab/>
        <w:t xml:space="preserve"> סוף דבר הערעור נדחה.  </w:t>
      </w:r>
    </w:p>
    <w:p w:rsidR="00C35919" w:rsidRDefault="00C35919" w:rsidP="00C35919">
      <w:pPr>
        <w:pStyle w:val="a4"/>
        <w:shd w:val="clear" w:color="auto" w:fill="FFFFFF"/>
        <w:spacing w:after="0" w:line="360" w:lineRule="auto"/>
        <w:ind w:left="84"/>
        <w:jc w:val="both"/>
        <w:rPr>
          <w:rFonts w:ascii="Narkisim" w:hAnsi="Narkisim" w:cs="Narkisim"/>
          <w:sz w:val="28"/>
          <w:szCs w:val="28"/>
          <w:rtl/>
        </w:rPr>
      </w:pPr>
    </w:p>
    <w:p w:rsidR="00C35919" w:rsidRDefault="00C35919" w:rsidP="00C35919">
      <w:pPr>
        <w:pStyle w:val="a4"/>
        <w:shd w:val="clear" w:color="auto" w:fill="FFFFFF"/>
        <w:spacing w:after="0" w:line="360" w:lineRule="auto"/>
        <w:ind w:left="84"/>
        <w:jc w:val="both"/>
        <w:rPr>
          <w:rFonts w:ascii="Narkisim" w:hAnsi="Narkisim" w:cs="Narkisim"/>
          <w:sz w:val="28"/>
          <w:szCs w:val="28"/>
          <w:rtl/>
        </w:rPr>
      </w:pPr>
      <w:r>
        <w:rPr>
          <w:rFonts w:ascii="Narkisim" w:hAnsi="Narkisim" w:cs="Narkisim"/>
          <w:sz w:val="28"/>
          <w:szCs w:val="28"/>
          <w:rtl/>
        </w:rPr>
        <w:t xml:space="preserve">המערער יישא בהוצאות משפט בסך של 15,000 ₪ אשר ישולמו בדרך של העברת הערבון שהופקדת על ידו בקופת בית המשפט לידי המשיבה באמצעות באת כוחה.  </w:t>
      </w:r>
    </w:p>
    <w:p w:rsidR="00C35919" w:rsidRDefault="00C35919" w:rsidP="00C35919">
      <w:pPr>
        <w:pStyle w:val="a4"/>
        <w:shd w:val="clear" w:color="auto" w:fill="FFFFFF"/>
        <w:spacing w:after="0" w:line="360" w:lineRule="auto"/>
        <w:ind w:left="84"/>
        <w:jc w:val="both"/>
        <w:rPr>
          <w:rFonts w:ascii="Narkisim" w:hAnsi="Narkisim" w:cs="Narkisim"/>
          <w:sz w:val="28"/>
          <w:szCs w:val="28"/>
          <w:rtl/>
        </w:rPr>
      </w:pPr>
    </w:p>
    <w:p w:rsidR="00C35919" w:rsidRDefault="00C35919" w:rsidP="00C35919">
      <w:pPr>
        <w:pStyle w:val="a4"/>
        <w:shd w:val="clear" w:color="auto" w:fill="FFFFFF"/>
        <w:spacing w:after="0" w:line="360" w:lineRule="auto"/>
        <w:ind w:left="84"/>
        <w:jc w:val="both"/>
        <w:rPr>
          <w:rFonts w:ascii="Narkisim" w:hAnsi="Narkisim" w:cs="Narkisim"/>
          <w:sz w:val="28"/>
          <w:szCs w:val="28"/>
          <w:rtl/>
        </w:rPr>
      </w:pPr>
      <w:r>
        <w:rPr>
          <w:rFonts w:ascii="Narkisim" w:hAnsi="Narkisim" w:cs="Narkisim"/>
          <w:sz w:val="28"/>
          <w:szCs w:val="28"/>
          <w:rtl/>
        </w:rPr>
        <w:t xml:space="preserve">ניתן לפרסום ללא פרטי הצדדים. </w:t>
      </w:r>
    </w:p>
    <w:p w:rsidR="00C35919" w:rsidRPr="00C770E3" w:rsidRDefault="00C35919" w:rsidP="00C35919">
      <w:pPr>
        <w:spacing w:line="360" w:lineRule="auto"/>
        <w:jc w:val="both"/>
        <w:rPr>
          <w:rFonts w:ascii="Arial" w:hAnsi="Arial"/>
          <w:noProof w:val="0"/>
          <w:rtl/>
        </w:rPr>
      </w:pPr>
    </w:p>
    <w:p w:rsidR="00C35919" w:rsidRPr="00C770E3" w:rsidRDefault="00C35919" w:rsidP="00C35919">
      <w:pPr>
        <w:spacing w:line="360" w:lineRule="auto"/>
        <w:jc w:val="both"/>
        <w:rPr>
          <w:rFonts w:ascii="Arial" w:hAnsi="Arial"/>
          <w:noProof w:val="0"/>
          <w:rtl/>
        </w:rPr>
      </w:pPr>
    </w:p>
    <w:p w:rsidR="00C35919" w:rsidRDefault="00C35919" w:rsidP="00C35919">
      <w:pPr>
        <w:spacing w:line="360" w:lineRule="auto"/>
        <w:jc w:val="both"/>
        <w:rPr>
          <w:rFonts w:ascii="Arial" w:hAnsi="Arial"/>
          <w:noProof w:val="0"/>
          <w:rtl/>
        </w:rPr>
      </w:pPr>
      <w:r>
        <w:rPr>
          <w:rFonts w:ascii="Arial" w:hAnsi="Arial"/>
          <w:noProof w:val="0"/>
          <w:rtl/>
        </w:rPr>
        <w:t>נית</w:t>
      </w:r>
      <w:r>
        <w:rPr>
          <w:rFonts w:ascii="Arial" w:hAnsi="Arial" w:hint="cs"/>
          <w:noProof w:val="0"/>
          <w:rtl/>
        </w:rPr>
        <w:t>ן</w:t>
      </w:r>
      <w:r>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י"ד ניסן תשפ"ד</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22 אפריל 2024</w:t>
          </w:r>
        </w:sdtContent>
      </w:sdt>
      <w:r>
        <w:rPr>
          <w:rFonts w:ascii="Arial" w:hAnsi="Arial"/>
          <w:noProof w:val="0"/>
          <w:rtl/>
        </w:rPr>
        <w:t>, בהעדר הצדדים.</w:t>
      </w:r>
    </w:p>
    <w:p w:rsidR="00C35919" w:rsidRDefault="00E20AB3" w:rsidP="00C35919">
      <w:pPr>
        <w:tabs>
          <w:tab w:val="left" w:pos="2553"/>
        </w:tabs>
        <w:ind w:left="5040"/>
        <w:rPr>
          <w:rtl/>
        </w:rPr>
      </w:pPr>
      <w:sdt>
        <w:sdtPr>
          <w:rPr>
            <w:rFonts w:hint="cs"/>
            <w:rtl/>
          </w:rPr>
          <w:alias w:val="2045"/>
          <w:tag w:val="2045"/>
          <w:id w:val="740689340"/>
          <w:placeholder>
            <w:docPart w:val="6A9FD832C36F458EA5335E4E7EEC9DE8"/>
          </w:placeholder>
          <w:showingPlcHdr/>
          <w:text w:multiLine="1"/>
        </w:sdtPr>
        <w:sdtEndPr/>
        <w:sdtContent>
          <w:r w:rsidR="00C35919">
            <w:rPr>
              <w:rFonts w:hint="cs"/>
              <w:rtl/>
            </w:rPr>
            <w:t xml:space="preserve">     </w:t>
          </w:r>
        </w:sdtContent>
      </w:sdt>
    </w:p>
    <w:tbl>
      <w:tblPr>
        <w:tblStyle w:val="a3"/>
        <w:tblpPr w:leftFromText="180" w:rightFromText="180" w:vertAnchor="text" w:horzAnchor="margin" w:tblpXSpec="center" w:tblpY="35"/>
        <w:bidiVisual/>
        <w:tblW w:w="8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91"/>
        <w:gridCol w:w="2891"/>
        <w:gridCol w:w="2891"/>
      </w:tblGrid>
      <w:tr w:rsidR="00C35919" w:rsidTr="00BB7126">
        <w:tc>
          <w:tcPr>
            <w:tcW w:w="2891" w:type="dxa"/>
            <w:vAlign w:val="center"/>
            <w:hideMark/>
          </w:tcPr>
          <w:p w:rsidR="00C35919" w:rsidRDefault="00C35919" w:rsidP="00BB7126">
            <w:pPr>
              <w:jc w:val="center"/>
              <w:rPr>
                <w:rFonts w:cs="Times New Roman"/>
                <w:noProof w:val="0"/>
              </w:rPr>
            </w:pPr>
            <w:r>
              <w:drawing>
                <wp:inline distT="0" distB="0" distL="0" distR="0" wp14:anchorId="0F1E7EAB" wp14:editId="1FEE2EA7">
                  <wp:extent cx="819150" cy="409575"/>
                  <wp:effectExtent l="0" t="0" r="0" b="9525"/>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19150" cy="409575"/>
                          </a:xfrm>
                          <a:prstGeom prst="rect">
                            <a:avLst/>
                          </a:prstGeom>
                          <a:noFill/>
                          <a:ln>
                            <a:noFill/>
                          </a:ln>
                        </pic:spPr>
                      </pic:pic>
                    </a:graphicData>
                  </a:graphic>
                </wp:inline>
              </w:drawing>
            </w:r>
          </w:p>
        </w:tc>
        <w:tc>
          <w:tcPr>
            <w:tcW w:w="2891" w:type="dxa"/>
            <w:vAlign w:val="center"/>
            <w:hideMark/>
          </w:tcPr>
          <w:p w:rsidR="00C35919" w:rsidRDefault="00C35919" w:rsidP="00BB7126">
            <w:pPr>
              <w:jc w:val="center"/>
            </w:pPr>
            <w:r>
              <w:drawing>
                <wp:inline distT="0" distB="0" distL="0" distR="0" wp14:anchorId="0F808FEB" wp14:editId="521DD647">
                  <wp:extent cx="873182" cy="411247"/>
                  <wp:effectExtent l="0" t="0" r="3175" b="8255"/>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86083" cy="417323"/>
                          </a:xfrm>
                          <a:prstGeom prst="rect">
                            <a:avLst/>
                          </a:prstGeom>
                          <a:noFill/>
                          <a:ln>
                            <a:noFill/>
                          </a:ln>
                        </pic:spPr>
                      </pic:pic>
                    </a:graphicData>
                  </a:graphic>
                </wp:inline>
              </w:drawing>
            </w:r>
          </w:p>
        </w:tc>
        <w:tc>
          <w:tcPr>
            <w:tcW w:w="2891" w:type="dxa"/>
            <w:vAlign w:val="center"/>
            <w:hideMark/>
          </w:tcPr>
          <w:p w:rsidR="00C35919" w:rsidRDefault="00C35919" w:rsidP="00BB7126">
            <w:pPr>
              <w:jc w:val="center"/>
            </w:pPr>
            <w:r>
              <w:drawing>
                <wp:inline distT="0" distB="0" distL="0" distR="0" wp14:anchorId="5DB24C90" wp14:editId="1C302A4C">
                  <wp:extent cx="1030605" cy="245745"/>
                  <wp:effectExtent l="0" t="0" r="0" b="1905"/>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30605" cy="245745"/>
                          </a:xfrm>
                          <a:prstGeom prst="rect">
                            <a:avLst/>
                          </a:prstGeom>
                          <a:noFill/>
                          <a:ln>
                            <a:noFill/>
                          </a:ln>
                        </pic:spPr>
                      </pic:pic>
                    </a:graphicData>
                  </a:graphic>
                </wp:inline>
              </w:drawing>
            </w:r>
          </w:p>
        </w:tc>
      </w:tr>
      <w:tr w:rsidR="00C35919" w:rsidTr="00BB7126">
        <w:tc>
          <w:tcPr>
            <w:tcW w:w="2891" w:type="dxa"/>
            <w:vAlign w:val="center"/>
            <w:hideMark/>
          </w:tcPr>
          <w:p w:rsidR="00C35919" w:rsidRDefault="00C35919" w:rsidP="00BB7126">
            <w:pPr>
              <w:spacing w:line="360" w:lineRule="auto"/>
              <w:jc w:val="center"/>
              <w:rPr>
                <w:rFonts w:ascii="David" w:hAnsi="David"/>
                <w:b/>
                <w:bCs/>
              </w:rPr>
            </w:pPr>
            <w:r>
              <w:rPr>
                <w:rFonts w:ascii="David" w:hAnsi="David" w:hint="cs"/>
                <w:b/>
                <w:bCs/>
                <w:rtl/>
              </w:rPr>
              <w:t>ורדה  פלאוט, שופטת, סגנית הנשיאה  אב"ד</w:t>
            </w:r>
          </w:p>
        </w:tc>
        <w:tc>
          <w:tcPr>
            <w:tcW w:w="2891" w:type="dxa"/>
            <w:vAlign w:val="center"/>
            <w:hideMark/>
          </w:tcPr>
          <w:p w:rsidR="00C35919" w:rsidRDefault="00C35919" w:rsidP="00BB7126">
            <w:pPr>
              <w:spacing w:line="360" w:lineRule="auto"/>
              <w:jc w:val="center"/>
              <w:rPr>
                <w:rFonts w:ascii="David" w:hAnsi="David"/>
                <w:b/>
                <w:bCs/>
              </w:rPr>
            </w:pPr>
            <w:r>
              <w:rPr>
                <w:rFonts w:ascii="David" w:hAnsi="David" w:hint="cs"/>
                <w:b/>
                <w:bCs/>
                <w:rtl/>
              </w:rPr>
              <w:t>צבי ויצמן, שופט</w:t>
            </w:r>
          </w:p>
        </w:tc>
        <w:tc>
          <w:tcPr>
            <w:tcW w:w="2891" w:type="dxa"/>
            <w:vAlign w:val="center"/>
            <w:hideMark/>
          </w:tcPr>
          <w:p w:rsidR="00C35919" w:rsidRDefault="00C35919" w:rsidP="00BB7126">
            <w:pPr>
              <w:spacing w:line="360" w:lineRule="auto"/>
              <w:jc w:val="center"/>
              <w:rPr>
                <w:rFonts w:ascii="David" w:hAnsi="David"/>
                <w:b/>
                <w:bCs/>
                <w:rtl/>
              </w:rPr>
            </w:pPr>
            <w:r>
              <w:rPr>
                <w:rFonts w:ascii="David" w:hAnsi="David" w:hint="cs"/>
                <w:b/>
                <w:bCs/>
                <w:rtl/>
              </w:rPr>
              <w:t>צבייה גרדשטיין פפקין, שופטת</w:t>
            </w:r>
          </w:p>
        </w:tc>
      </w:tr>
    </w:tbl>
    <w:p w:rsidR="00C35919" w:rsidRDefault="00C35919" w:rsidP="00C35919">
      <w:pPr>
        <w:tabs>
          <w:tab w:val="left" w:pos="2553"/>
        </w:tabs>
        <w:rPr>
          <w:rFonts w:ascii="Arial" w:hAnsi="Arial"/>
          <w:noProof w:val="0"/>
          <w:rtl/>
        </w:rPr>
      </w:pPr>
    </w:p>
    <w:p w:rsidR="00EB5092" w:rsidRDefault="00EB5092"/>
    <w:sectPr w:rsidR="00EB5092" w:rsidSect="00394AB7">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0AB3" w:rsidRDefault="00E20AB3" w:rsidP="00C35919">
      <w:r>
        <w:separator/>
      </w:r>
    </w:p>
  </w:endnote>
  <w:endnote w:type="continuationSeparator" w:id="0">
    <w:p w:rsidR="00E20AB3" w:rsidRDefault="00E20AB3" w:rsidP="00C35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FrankRuehl">
    <w:panose1 w:val="020E05030601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5919" w:rsidRDefault="00C35919">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5919" w:rsidRDefault="00C35919">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5919" w:rsidRDefault="00C3591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0AB3" w:rsidRDefault="00E20AB3" w:rsidP="00C35919">
      <w:r>
        <w:separator/>
      </w:r>
    </w:p>
  </w:footnote>
  <w:footnote w:type="continuationSeparator" w:id="0">
    <w:p w:rsidR="00E20AB3" w:rsidRDefault="00E20AB3" w:rsidP="00C359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5919" w:rsidRDefault="00C35919">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5919" w:rsidRDefault="00C35919" w:rsidP="00C35919">
    <w:pPr>
      <w:pStyle w:val="a5"/>
      <w:jc w:val="center"/>
      <w:rPr>
        <w:rFonts w:cs="FrankRuehl"/>
        <w:noProof w:val="0"/>
        <w:sz w:val="28"/>
        <w:szCs w:val="28"/>
        <w:rtl/>
      </w:rPr>
    </w:pPr>
    <w:r>
      <w:rPr>
        <w:rFonts w:cs="FrankRuehl"/>
        <w:sz w:val="28"/>
        <w:szCs w:val="28"/>
      </w:rPr>
      <w:drawing>
        <wp:inline distT="0" distB="0" distL="0" distR="0" wp14:anchorId="6BF6C1CD" wp14:editId="7475CB2F">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6"/>
    </w:tblGrid>
    <w:tr w:rsidR="00C35919" w:rsidTr="00BB7126">
      <w:trPr>
        <w:trHeight w:hRule="exact" w:val="704"/>
        <w:jc w:val="center"/>
      </w:trPr>
      <w:sdt>
        <w:sdtPr>
          <w:rPr>
            <w:rFonts w:ascii="Tahoma" w:hAnsi="Tahoma"/>
            <w:color w:val="000080"/>
            <w:sz w:val="32"/>
            <w:szCs w:val="32"/>
            <w:rtl/>
          </w:rPr>
          <w:alias w:val="1174"/>
          <w:tag w:val="1174"/>
          <w:id w:val="-1585920285"/>
          <w:text w:multiLine="1"/>
        </w:sdtPr>
        <w:sdtEndPr/>
        <w:sdtContent>
          <w:tc>
            <w:tcPr>
              <w:tcW w:w="8307" w:type="dxa"/>
            </w:tcPr>
            <w:p w:rsidR="00C35919" w:rsidRPr="00F038D8" w:rsidRDefault="00C35919" w:rsidP="00C35919">
              <w:pPr>
                <w:pStyle w:val="a5"/>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C35919" w:rsidTr="00BB7126">
      <w:trPr>
        <w:trHeight w:val="337"/>
        <w:jc w:val="center"/>
      </w:trPr>
      <w:tc>
        <w:tcPr>
          <w:tcW w:w="8307" w:type="dxa"/>
        </w:tcPr>
        <w:p w:rsidR="00C35919" w:rsidRDefault="00E20AB3" w:rsidP="00C35919">
          <w:pPr>
            <w:rPr>
              <w:b/>
              <w:bCs/>
              <w:noProof w:val="0"/>
              <w:sz w:val="26"/>
              <w:szCs w:val="26"/>
              <w:rtl/>
            </w:rPr>
          </w:pPr>
          <w:sdt>
            <w:sdtPr>
              <w:rPr>
                <w:rtl/>
              </w:rPr>
              <w:alias w:val="1170"/>
              <w:tag w:val="1170"/>
              <w:id w:val="1066377040"/>
              <w:text w:multiLine="1"/>
            </w:sdtPr>
            <w:sdtEndPr/>
            <w:sdtContent>
              <w:r w:rsidR="00C35919">
                <w:rPr>
                  <w:b/>
                  <w:bCs/>
                  <w:noProof w:val="0"/>
                  <w:sz w:val="26"/>
                  <w:szCs w:val="26"/>
                  <w:rtl/>
                </w:rPr>
                <w:t>עמ"ש</w:t>
              </w:r>
            </w:sdtContent>
          </w:sdt>
          <w:r w:rsidR="00C35919">
            <w:rPr>
              <w:b/>
              <w:bCs/>
              <w:noProof w:val="0"/>
              <w:sz w:val="26"/>
              <w:szCs w:val="26"/>
              <w:rtl/>
            </w:rPr>
            <w:t xml:space="preserve"> </w:t>
          </w:r>
          <w:bookmarkStart w:id="1" w:name="_GoBack"/>
          <w:sdt>
            <w:sdtPr>
              <w:rPr>
                <w:rtl/>
              </w:rPr>
              <w:alias w:val="1171"/>
              <w:tag w:val="1171"/>
              <w:id w:val="257034231"/>
              <w:text w:multiLine="1"/>
            </w:sdtPr>
            <w:sdtEndPr/>
            <w:sdtContent>
              <w:r w:rsidR="00C35919">
                <w:rPr>
                  <w:b/>
                  <w:bCs/>
                  <w:noProof w:val="0"/>
                  <w:sz w:val="26"/>
                  <w:szCs w:val="26"/>
                  <w:rtl/>
                </w:rPr>
                <w:t>28976-10-23</w:t>
              </w:r>
            </w:sdtContent>
          </w:sdt>
          <w:bookmarkEnd w:id="1"/>
          <w:r w:rsidR="00C35919">
            <w:rPr>
              <w:b/>
              <w:bCs/>
              <w:noProof w:val="0"/>
              <w:sz w:val="26"/>
              <w:szCs w:val="26"/>
              <w:rtl/>
            </w:rPr>
            <w:t xml:space="preserve"> </w:t>
          </w:r>
          <w:sdt>
            <w:sdtPr>
              <w:rPr>
                <w:b/>
                <w:bCs/>
                <w:noProof w:val="0"/>
                <w:sz w:val="26"/>
                <w:szCs w:val="26"/>
                <w:rtl/>
              </w:rPr>
              <w:alias w:val="3154"/>
              <w:tag w:val="3154"/>
              <w:id w:val="-1285889662"/>
              <w:placeholder>
                <w:docPart w:val="CA7FE770025A479CBA1BB49A2F3B02F8"/>
              </w:placeholder>
              <w:text w:multiLine="1"/>
            </w:sdtPr>
            <w:sdtEndPr/>
            <w:sdtContent>
              <w:r w:rsidR="00C35919">
                <w:rPr>
                  <w:rFonts w:hint="cs"/>
                  <w:b/>
                  <w:bCs/>
                  <w:noProof w:val="0"/>
                  <w:sz w:val="26"/>
                  <w:szCs w:val="26"/>
                  <w:rtl/>
                </w:rPr>
                <w:t xml:space="preserve">א.ח נ. ל. ח. </w:t>
              </w:r>
            </w:sdtContent>
          </w:sdt>
          <w:r w:rsidR="00C35919">
            <w:rPr>
              <w:b/>
              <w:bCs/>
              <w:noProof w:val="0"/>
              <w:sz w:val="26"/>
              <w:szCs w:val="26"/>
              <w:rtl/>
            </w:rPr>
            <w:t xml:space="preserve"> </w:t>
          </w:r>
        </w:p>
        <w:p w:rsidR="00C35919" w:rsidRPr="00E1068A" w:rsidRDefault="00C35919" w:rsidP="00C35919">
          <w:pPr>
            <w:rPr>
              <w:sz w:val="20"/>
              <w:szCs w:val="20"/>
              <w:rtl/>
            </w:rPr>
          </w:pPr>
          <w:r>
            <w:rPr>
              <w:sz w:val="20"/>
              <w:szCs w:val="20"/>
              <w:rtl/>
            </w:rPr>
            <w:t xml:space="preserve"> </w:t>
          </w:r>
        </w:p>
      </w:tc>
    </w:tr>
  </w:tbl>
  <w:p w:rsidR="00C35919" w:rsidRDefault="00C35919">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5919" w:rsidRDefault="00C3591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6001B"/>
    <w:multiLevelType w:val="hybridMultilevel"/>
    <w:tmpl w:val="D3E0B4EE"/>
    <w:lvl w:ilvl="0" w:tplc="6D0AAE36">
      <w:start w:val="1"/>
      <w:numFmt w:val="decimal"/>
      <w:pStyle w:val="Ruller4"/>
      <w:lvlText w:val="%1."/>
      <w:lvlJc w:val="left"/>
      <w:pPr>
        <w:tabs>
          <w:tab w:val="num" w:pos="907"/>
        </w:tabs>
        <w:ind w:left="0" w:firstLine="0"/>
      </w:pPr>
    </w:lvl>
    <w:lvl w:ilvl="1" w:tplc="EA788CE2">
      <w:start w:val="1"/>
      <w:numFmt w:val="lowerLetter"/>
      <w:lvlText w:val="%2."/>
      <w:lvlJc w:val="left"/>
      <w:pPr>
        <w:tabs>
          <w:tab w:val="num" w:pos="1440"/>
        </w:tabs>
        <w:ind w:left="1440" w:hanging="360"/>
      </w:pPr>
    </w:lvl>
    <w:lvl w:ilvl="2" w:tplc="4B94D084">
      <w:start w:val="1"/>
      <w:numFmt w:val="lowerRoman"/>
      <w:lvlText w:val="%3."/>
      <w:lvlJc w:val="right"/>
      <w:pPr>
        <w:tabs>
          <w:tab w:val="num" w:pos="2160"/>
        </w:tabs>
        <w:ind w:left="2160" w:hanging="180"/>
      </w:pPr>
    </w:lvl>
    <w:lvl w:ilvl="3" w:tplc="CEDA1A3A">
      <w:start w:val="1"/>
      <w:numFmt w:val="decimal"/>
      <w:lvlText w:val="%4."/>
      <w:lvlJc w:val="left"/>
      <w:pPr>
        <w:tabs>
          <w:tab w:val="num" w:pos="2880"/>
        </w:tabs>
        <w:ind w:left="2880" w:hanging="360"/>
      </w:pPr>
    </w:lvl>
    <w:lvl w:ilvl="4" w:tplc="6AFCB9AA">
      <w:start w:val="1"/>
      <w:numFmt w:val="lowerLetter"/>
      <w:lvlText w:val="%5."/>
      <w:lvlJc w:val="left"/>
      <w:pPr>
        <w:tabs>
          <w:tab w:val="num" w:pos="3600"/>
        </w:tabs>
        <w:ind w:left="3600" w:hanging="360"/>
      </w:pPr>
    </w:lvl>
    <w:lvl w:ilvl="5" w:tplc="2D9E6E62">
      <w:start w:val="1"/>
      <w:numFmt w:val="lowerRoman"/>
      <w:lvlText w:val="%6."/>
      <w:lvlJc w:val="right"/>
      <w:pPr>
        <w:tabs>
          <w:tab w:val="num" w:pos="4320"/>
        </w:tabs>
        <w:ind w:left="4320" w:hanging="180"/>
      </w:pPr>
    </w:lvl>
    <w:lvl w:ilvl="6" w:tplc="2BF8350E">
      <w:start w:val="1"/>
      <w:numFmt w:val="decimal"/>
      <w:lvlText w:val="%7."/>
      <w:lvlJc w:val="left"/>
      <w:pPr>
        <w:tabs>
          <w:tab w:val="num" w:pos="5040"/>
        </w:tabs>
        <w:ind w:left="5040" w:hanging="360"/>
      </w:pPr>
    </w:lvl>
    <w:lvl w:ilvl="7" w:tplc="DED883F6">
      <w:start w:val="1"/>
      <w:numFmt w:val="lowerLetter"/>
      <w:lvlText w:val="%8."/>
      <w:lvlJc w:val="left"/>
      <w:pPr>
        <w:tabs>
          <w:tab w:val="num" w:pos="5760"/>
        </w:tabs>
        <w:ind w:left="5760" w:hanging="360"/>
      </w:pPr>
    </w:lvl>
    <w:lvl w:ilvl="8" w:tplc="EED26D48">
      <w:start w:val="1"/>
      <w:numFmt w:val="lowerRoman"/>
      <w:lvlText w:val="%9."/>
      <w:lvlJc w:val="right"/>
      <w:pPr>
        <w:tabs>
          <w:tab w:val="num" w:pos="6480"/>
        </w:tabs>
        <w:ind w:left="6480" w:hanging="180"/>
      </w:pPr>
    </w:lvl>
  </w:abstractNum>
  <w:abstractNum w:abstractNumId="1" w15:restartNumberingAfterBreak="0">
    <w:nsid w:val="18287CA5"/>
    <w:multiLevelType w:val="hybridMultilevel"/>
    <w:tmpl w:val="F4D41484"/>
    <w:lvl w:ilvl="0" w:tplc="5114D1D2">
      <w:start w:val="1"/>
      <w:numFmt w:val="hebrew1"/>
      <w:lvlText w:val="%1."/>
      <w:lvlJc w:val="left"/>
      <w:pPr>
        <w:ind w:left="900" w:hanging="5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F6100D5"/>
    <w:multiLevelType w:val="hybridMultilevel"/>
    <w:tmpl w:val="2F10EF28"/>
    <w:lvl w:ilvl="0" w:tplc="4A9E1154">
      <w:start w:val="1"/>
      <w:numFmt w:val="hebrew1"/>
      <w:lvlText w:val="%1."/>
      <w:lvlJc w:val="left"/>
      <w:pPr>
        <w:ind w:left="420" w:hanging="360"/>
      </w:pPr>
      <w:rPr>
        <w:rFonts w:ascii="Arial" w:hAnsi="Arial"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58255833"/>
    <w:multiLevelType w:val="hybridMultilevel"/>
    <w:tmpl w:val="F0E2A95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5919"/>
    <w:rsid w:val="00342B4B"/>
    <w:rsid w:val="00394AB7"/>
    <w:rsid w:val="00C35919"/>
    <w:rsid w:val="00E20AB3"/>
    <w:rsid w:val="00EB509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5:chartTrackingRefBased/>
  <w15:docId w15:val="{EE659CF9-5DCB-477D-82B9-720280AD6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5919"/>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35919"/>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C35919"/>
    <w:pPr>
      <w:spacing w:after="160" w:line="252" w:lineRule="auto"/>
      <w:ind w:left="720"/>
      <w:contextualSpacing/>
    </w:pPr>
    <w:rPr>
      <w:rFonts w:asciiTheme="minorHAnsi" w:eastAsiaTheme="minorHAnsi" w:hAnsiTheme="minorHAnsi" w:cstheme="minorBidi"/>
      <w:noProof w:val="0"/>
      <w:sz w:val="22"/>
      <w:szCs w:val="22"/>
    </w:rPr>
  </w:style>
  <w:style w:type="character" w:customStyle="1" w:styleId="Ruller40">
    <w:name w:val="Ruller 4 ממוספר תו"/>
    <w:link w:val="Ruller4"/>
    <w:locked/>
    <w:rsid w:val="00C35919"/>
    <w:rPr>
      <w:rFonts w:ascii="Garamond" w:hAnsi="Garamond" w:cs="FrankRuehl"/>
      <w:spacing w:val="10"/>
      <w:sz w:val="24"/>
      <w:szCs w:val="28"/>
    </w:rPr>
  </w:style>
  <w:style w:type="paragraph" w:customStyle="1" w:styleId="Ruller4">
    <w:name w:val="Ruller 4 ממוספר"/>
    <w:basedOn w:val="a"/>
    <w:next w:val="a"/>
    <w:link w:val="Ruller40"/>
    <w:rsid w:val="00C35919"/>
    <w:pPr>
      <w:numPr>
        <w:numId w:val="1"/>
      </w:numPr>
      <w:tabs>
        <w:tab w:val="left" w:pos="800"/>
      </w:tabs>
      <w:overflowPunct w:val="0"/>
      <w:autoSpaceDE w:val="0"/>
      <w:autoSpaceDN w:val="0"/>
      <w:adjustRightInd w:val="0"/>
      <w:spacing w:line="360" w:lineRule="auto"/>
      <w:jc w:val="both"/>
    </w:pPr>
    <w:rPr>
      <w:rFonts w:ascii="Garamond" w:eastAsiaTheme="minorHAnsi" w:hAnsi="Garamond" w:cs="FrankRuehl"/>
      <w:noProof w:val="0"/>
      <w:spacing w:val="10"/>
      <w:szCs w:val="28"/>
    </w:rPr>
  </w:style>
  <w:style w:type="paragraph" w:styleId="a5">
    <w:name w:val="header"/>
    <w:basedOn w:val="a"/>
    <w:link w:val="a6"/>
    <w:unhideWhenUsed/>
    <w:rsid w:val="00C35919"/>
    <w:pPr>
      <w:tabs>
        <w:tab w:val="center" w:pos="4153"/>
        <w:tab w:val="right" w:pos="8306"/>
      </w:tabs>
    </w:pPr>
  </w:style>
  <w:style w:type="character" w:customStyle="1" w:styleId="a6">
    <w:name w:val="כותרת עליונה תו"/>
    <w:basedOn w:val="a0"/>
    <w:link w:val="a5"/>
    <w:uiPriority w:val="99"/>
    <w:rsid w:val="00C35919"/>
    <w:rPr>
      <w:rFonts w:ascii="Times New Roman" w:eastAsia="Times New Roman" w:hAnsi="Times New Roman" w:cs="David"/>
      <w:noProof/>
      <w:sz w:val="24"/>
      <w:szCs w:val="24"/>
    </w:rPr>
  </w:style>
  <w:style w:type="paragraph" w:styleId="a7">
    <w:name w:val="footer"/>
    <w:basedOn w:val="a"/>
    <w:link w:val="a8"/>
    <w:uiPriority w:val="99"/>
    <w:unhideWhenUsed/>
    <w:rsid w:val="00C35919"/>
    <w:pPr>
      <w:tabs>
        <w:tab w:val="center" w:pos="4153"/>
        <w:tab w:val="right" w:pos="8306"/>
      </w:tabs>
    </w:pPr>
  </w:style>
  <w:style w:type="character" w:customStyle="1" w:styleId="a8">
    <w:name w:val="כותרת תחתונה תו"/>
    <w:basedOn w:val="a0"/>
    <w:link w:val="a7"/>
    <w:uiPriority w:val="99"/>
    <w:rsid w:val="00C35919"/>
    <w:rPr>
      <w:rFonts w:ascii="Times New Roman" w:eastAsia="Times New Roman" w:hAnsi="Times New Roman"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40C597EA9DA44C5940A32F6E19222DA"/>
        <w:category>
          <w:name w:val="כללי"/>
          <w:gallery w:val="placeholder"/>
        </w:category>
        <w:types>
          <w:type w:val="bbPlcHdr"/>
        </w:types>
        <w:behaviors>
          <w:behavior w:val="content"/>
        </w:behaviors>
        <w:guid w:val="{07F6AF3F-C308-41F4-9B26-F41883888243}"/>
      </w:docPartPr>
      <w:docPartBody>
        <w:p w:rsidR="00212EFF" w:rsidRDefault="00C6096B" w:rsidP="00C6096B">
          <w:pPr>
            <w:pStyle w:val="C40C597EA9DA44C5940A32F6E19222DA"/>
          </w:pPr>
          <w:r>
            <w:rPr>
              <w:rFonts w:ascii="Arial" w:hAnsi="Arial" w:hint="eastAsia"/>
              <w:b/>
              <w:bCs/>
              <w:sz w:val="26"/>
              <w:szCs w:val="26"/>
              <w:rtl/>
            </w:rPr>
            <w:t>שם</w:t>
          </w:r>
          <w:r>
            <w:rPr>
              <w:rFonts w:ascii="Arial" w:hAnsi="Arial"/>
              <w:b/>
              <w:bCs/>
              <w:sz w:val="26"/>
              <w:szCs w:val="26"/>
              <w:rtl/>
            </w:rPr>
            <w:t xml:space="preserve"> צד ב' ללא שם של חסוי</w:t>
          </w:r>
        </w:p>
      </w:docPartBody>
    </w:docPart>
    <w:docPart>
      <w:docPartPr>
        <w:name w:val="6A9FD832C36F458EA5335E4E7EEC9DE8"/>
        <w:category>
          <w:name w:val="כללי"/>
          <w:gallery w:val="placeholder"/>
        </w:category>
        <w:types>
          <w:type w:val="bbPlcHdr"/>
        </w:types>
        <w:behaviors>
          <w:behavior w:val="content"/>
        </w:behaviors>
        <w:guid w:val="{30A5A881-4D98-4BBA-A6EC-363A379088D0}"/>
      </w:docPartPr>
      <w:docPartBody>
        <w:p w:rsidR="00212EFF" w:rsidRDefault="00C6096B" w:rsidP="00C6096B">
          <w:pPr>
            <w:pStyle w:val="6A9FD832C36F458EA5335E4E7EEC9DE8"/>
          </w:pPr>
          <w:r>
            <w:rPr>
              <w:rFonts w:hint="cs"/>
              <w:rtl/>
            </w:rPr>
            <w:t xml:space="preserve">     </w:t>
          </w:r>
        </w:p>
      </w:docPartBody>
    </w:docPart>
    <w:docPart>
      <w:docPartPr>
        <w:name w:val="CA7FE770025A479CBA1BB49A2F3B02F8"/>
        <w:category>
          <w:name w:val="כללי"/>
          <w:gallery w:val="placeholder"/>
        </w:category>
        <w:types>
          <w:type w:val="bbPlcHdr"/>
        </w:types>
        <w:behaviors>
          <w:behavior w:val="content"/>
        </w:behaviors>
        <w:guid w:val="{2ACBFC72-F399-4D1D-820D-1B413B181182}"/>
      </w:docPartPr>
      <w:docPartBody>
        <w:p w:rsidR="00212EFF" w:rsidRDefault="00C6096B" w:rsidP="00C6096B">
          <w:pPr>
            <w:pStyle w:val="CA7FE770025A479CBA1BB49A2F3B02F8"/>
          </w:pPr>
          <w:r>
            <w:rPr>
              <w:b/>
              <w:bCs/>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FrankRuehl">
    <w:panose1 w:val="020E05030601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096B"/>
    <w:rsid w:val="00027329"/>
    <w:rsid w:val="00212EFF"/>
    <w:rsid w:val="00C6096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40C597EA9DA44C5940A32F6E19222DA">
    <w:name w:val="C40C597EA9DA44C5940A32F6E19222DA"/>
    <w:rsid w:val="00C6096B"/>
    <w:pPr>
      <w:bidi/>
    </w:pPr>
  </w:style>
  <w:style w:type="paragraph" w:customStyle="1" w:styleId="6A9FD832C36F458EA5335E4E7EEC9DE8">
    <w:name w:val="6A9FD832C36F458EA5335E4E7EEC9DE8"/>
    <w:rsid w:val="00C6096B"/>
    <w:pPr>
      <w:bidi/>
    </w:pPr>
  </w:style>
  <w:style w:type="paragraph" w:customStyle="1" w:styleId="CA7FE770025A479CBA1BB49A2F3B02F8">
    <w:name w:val="CA7FE770025A479CBA1BB49A2F3B02F8"/>
    <w:rsid w:val="00C6096B"/>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3822</Words>
  <Characters>17047</Characters>
  <Application>Microsoft Office Word</Application>
  <DocSecurity>0</DocSecurity>
  <Lines>426</Lines>
  <Paragraphs>101</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20768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צבי ויצמן</dc:creator>
  <cp:keywords/>
  <dc:description/>
  <cp:lastModifiedBy>גרמאו מנגיסטו</cp:lastModifiedBy>
  <cp:revision>2</cp:revision>
  <dcterms:created xsi:type="dcterms:W3CDTF">2024-05-26T10:22:00Z</dcterms:created>
  <dcterms:modified xsi:type="dcterms:W3CDTF">2024-05-26T10:22:00Z</dcterms:modified>
</cp:coreProperties>
</file>